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784CF3" w:rsidP="001547F3">
      <w:pPr>
        <w:ind w:left="981" w:firstLine="720"/>
        <w:jc w:val="right"/>
      </w:pPr>
      <w:r>
        <w:t>Nr</w:t>
      </w:r>
      <w:r w:rsidR="00D362A4">
        <w:t>.</w:t>
      </w:r>
      <w:r w:rsidR="00523536">
        <w:t>25</w:t>
      </w:r>
      <w:r w:rsidR="007659A1">
        <w:t>9</w:t>
      </w:r>
      <w:r w:rsidR="00523536">
        <w:t>55</w:t>
      </w:r>
      <w:r w:rsidR="003D4FE5">
        <w:t>/</w:t>
      </w:r>
      <w:r w:rsidR="009F3594">
        <w:t>CRP</w:t>
      </w:r>
      <w:r w:rsidR="001547F3" w:rsidRPr="001547F3">
        <w:t>/</w:t>
      </w:r>
      <w:r w:rsidR="00523536">
        <w:t>21</w:t>
      </w:r>
      <w:r w:rsidR="009F3594">
        <w:t>.0</w:t>
      </w:r>
      <w:r w:rsidR="00523536">
        <w:t>9</w:t>
      </w:r>
      <w:r w:rsidR="009F3594">
        <w:t>.20</w:t>
      </w:r>
      <w:r w:rsidR="008946BA">
        <w:t>22</w:t>
      </w:r>
    </w:p>
    <w:p w:rsidR="009F3594" w:rsidRDefault="009F3594" w:rsidP="001547F3">
      <w:pPr>
        <w:ind w:left="981" w:firstLine="720"/>
        <w:jc w:val="right"/>
      </w:pPr>
    </w:p>
    <w:p w:rsidR="0082247B" w:rsidRDefault="0082247B" w:rsidP="001547F3">
      <w:pPr>
        <w:ind w:left="981" w:firstLine="720"/>
        <w:jc w:val="right"/>
      </w:pPr>
    </w:p>
    <w:p w:rsidR="00BC7C22" w:rsidRDefault="00BC7C22" w:rsidP="001547F3">
      <w:pPr>
        <w:ind w:left="981" w:firstLine="720"/>
        <w:jc w:val="right"/>
      </w:pPr>
    </w:p>
    <w:p w:rsidR="00E15A35" w:rsidRDefault="00E72BDF" w:rsidP="00E72B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659A1">
        <w:rPr>
          <w:b/>
          <w:sz w:val="36"/>
          <w:szCs w:val="36"/>
        </w:rPr>
        <w:t xml:space="preserve">           </w:t>
      </w:r>
      <w:r w:rsidR="00623359">
        <w:rPr>
          <w:b/>
          <w:sz w:val="36"/>
          <w:szCs w:val="36"/>
        </w:rPr>
        <w:t xml:space="preserve">                    </w:t>
      </w:r>
      <w:r w:rsidR="00E15A35">
        <w:rPr>
          <w:b/>
          <w:sz w:val="36"/>
          <w:szCs w:val="36"/>
        </w:rPr>
        <w:t xml:space="preserve"> </w:t>
      </w:r>
    </w:p>
    <w:p w:rsidR="00E72BDF" w:rsidRPr="00FE23E0" w:rsidRDefault="00E15A35" w:rsidP="00E72BDF">
      <w:pPr>
        <w:rPr>
          <w:b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                               </w:t>
      </w:r>
      <w:r w:rsidR="00E72BDF" w:rsidRPr="00FE23E0">
        <w:rPr>
          <w:b/>
          <w:sz w:val="40"/>
          <w:szCs w:val="40"/>
          <w:u w:val="single"/>
        </w:rPr>
        <w:t>COMUNICAT DE PRESĂ</w:t>
      </w:r>
    </w:p>
    <w:p w:rsidR="00623359" w:rsidRDefault="00623359" w:rsidP="00E72BDF">
      <w:pPr>
        <w:rPr>
          <w:b/>
          <w:sz w:val="36"/>
          <w:szCs w:val="36"/>
        </w:rPr>
      </w:pPr>
    </w:p>
    <w:p w:rsidR="007659A1" w:rsidRDefault="007659A1" w:rsidP="00E72B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2B774C" w:rsidRDefault="007659A1" w:rsidP="00523536">
      <w:pPr>
        <w:rPr>
          <w:b/>
          <w:sz w:val="28"/>
          <w:szCs w:val="28"/>
        </w:rPr>
      </w:pPr>
      <w:r w:rsidRPr="007659A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="00FE23E0">
        <w:rPr>
          <w:b/>
          <w:sz w:val="28"/>
          <w:szCs w:val="28"/>
        </w:rPr>
        <w:t xml:space="preserve">                         </w:t>
      </w:r>
      <w:r w:rsidR="00E15A35">
        <w:rPr>
          <w:b/>
          <w:sz w:val="28"/>
          <w:szCs w:val="28"/>
        </w:rPr>
        <w:t xml:space="preserve"> </w:t>
      </w:r>
      <w:r w:rsidR="00523536">
        <w:rPr>
          <w:b/>
          <w:sz w:val="28"/>
          <w:szCs w:val="28"/>
        </w:rPr>
        <w:t xml:space="preserve">21.09.2022 – CONFERINȚĂ : </w:t>
      </w:r>
    </w:p>
    <w:p w:rsidR="00FE23E0" w:rsidRDefault="00523536" w:rsidP="005235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15A35" w:rsidRPr="00E15A35" w:rsidRDefault="00523536" w:rsidP="00E15A35">
      <w:pPr>
        <w:spacing w:after="100" w:afterAutospacing="1" w:line="276" w:lineRule="auto"/>
        <w:ind w:left="720"/>
        <w:jc w:val="center"/>
        <w:rPr>
          <w:b/>
          <w:color w:val="C00000"/>
          <w:sz w:val="28"/>
          <w:szCs w:val="28"/>
        </w:rPr>
      </w:pPr>
      <w:r w:rsidRPr="00E15A35">
        <w:rPr>
          <w:b/>
          <w:color w:val="C00000"/>
          <w:sz w:val="28"/>
          <w:szCs w:val="28"/>
        </w:rPr>
        <w:t>MODIFICĂRI ȘI NOUTĂȚI LEGISLATIVE ADUSE ÎN DOMENIUL</w:t>
      </w:r>
    </w:p>
    <w:p w:rsidR="007659A1" w:rsidRPr="00E15A35" w:rsidRDefault="00523536" w:rsidP="00E15A35">
      <w:pPr>
        <w:spacing w:after="100" w:afterAutospacing="1" w:line="276" w:lineRule="auto"/>
        <w:ind w:left="720"/>
        <w:jc w:val="center"/>
        <w:rPr>
          <w:b/>
          <w:color w:val="C00000"/>
          <w:sz w:val="28"/>
          <w:szCs w:val="28"/>
        </w:rPr>
      </w:pPr>
      <w:r w:rsidRPr="00E15A35">
        <w:rPr>
          <w:b/>
          <w:color w:val="C00000"/>
          <w:sz w:val="28"/>
          <w:szCs w:val="28"/>
        </w:rPr>
        <w:t>SECURITĂȚII ȘI  SĂNĂTĂȚII ÎN MUNCĂ,  DIGITALIZAREA ACTIVITĂȚII</w:t>
      </w:r>
    </w:p>
    <w:p w:rsidR="00E21B4A" w:rsidRPr="00523536" w:rsidRDefault="00E21B4A" w:rsidP="00E15A35">
      <w:pPr>
        <w:spacing w:after="100" w:afterAutospacing="1" w:line="276" w:lineRule="auto"/>
        <w:ind w:left="360"/>
        <w:jc w:val="center"/>
      </w:pPr>
    </w:p>
    <w:p w:rsidR="006F0CC2" w:rsidRDefault="00523536" w:rsidP="006F0CC2">
      <w:pPr>
        <w:spacing w:after="120" w:line="276" w:lineRule="auto"/>
        <w:ind w:left="540"/>
        <w:jc w:val="both"/>
        <w:rPr>
          <w:rFonts w:eastAsia="Times New Roman" w:cstheme="minorHAnsi"/>
          <w:lang w:val="ro-RO"/>
        </w:rPr>
      </w:pPr>
      <w:r w:rsidRPr="00523536">
        <w:rPr>
          <w:b/>
        </w:rPr>
        <w:t>I</w:t>
      </w:r>
      <w:r w:rsidRPr="00523536">
        <w:rPr>
          <w:rFonts w:eastAsia="Calibri" w:cstheme="minorHAnsi"/>
          <w:b/>
          <w:w w:val="105"/>
          <w:lang w:val="ro-RO"/>
        </w:rPr>
        <w:t>NSPECTORATUL TERITORIAL DE MUNCĂ TIMIȘ</w:t>
      </w:r>
      <w:r w:rsidRPr="00523536">
        <w:rPr>
          <w:rFonts w:eastAsia="Calibri" w:cstheme="minorHAnsi"/>
          <w:w w:val="105"/>
          <w:lang w:val="ro-RO"/>
        </w:rPr>
        <w:t xml:space="preserve"> a dat curs invitației </w:t>
      </w:r>
      <w:r w:rsidRPr="00523536">
        <w:rPr>
          <w:rFonts w:eastAsia="Calibri" w:cstheme="minorHAnsi"/>
          <w:b/>
          <w:w w:val="105"/>
          <w:lang w:val="ro-RO"/>
        </w:rPr>
        <w:t>Platformei SSM.ro</w:t>
      </w:r>
      <w:r w:rsidRPr="00523536">
        <w:rPr>
          <w:rFonts w:eastAsia="Calibri" w:cstheme="minorHAnsi"/>
          <w:w w:val="105"/>
          <w:lang w:val="ro-RO"/>
        </w:rPr>
        <w:t xml:space="preserve"> de a participa la o întâlnire cu </w:t>
      </w:r>
      <w:r w:rsidRPr="00523536">
        <w:rPr>
          <w:rFonts w:eastAsia="Times New Roman" w:cstheme="minorHAnsi"/>
          <w:lang w:val="ro-RO"/>
        </w:rPr>
        <w:t>angajatori, manageri, servicii</w:t>
      </w:r>
      <w:r>
        <w:rPr>
          <w:rFonts w:eastAsia="Times New Roman" w:cstheme="minorHAnsi"/>
          <w:lang w:val="ro-RO"/>
        </w:rPr>
        <w:t xml:space="preserve"> externe de Securitate și Sănătate în M</w:t>
      </w:r>
      <w:r w:rsidRPr="00523536">
        <w:rPr>
          <w:rFonts w:eastAsia="Times New Roman" w:cstheme="minorHAnsi"/>
          <w:lang w:val="ro-RO"/>
        </w:rPr>
        <w:t xml:space="preserve">uncă, specialiști în domeniul S.S.M. și </w:t>
      </w:r>
      <w:r>
        <w:rPr>
          <w:rFonts w:eastAsia="Times New Roman" w:cstheme="minorHAnsi"/>
          <w:lang w:val="ro-RO"/>
        </w:rPr>
        <w:t>Resurse U</w:t>
      </w:r>
      <w:r w:rsidRPr="00523536">
        <w:rPr>
          <w:rFonts w:eastAsia="Times New Roman" w:cstheme="minorHAnsi"/>
          <w:lang w:val="ro-RO"/>
        </w:rPr>
        <w:t xml:space="preserve">mane, precum și cu persoane interesate de modificările şi noutăţile legislative din anul </w:t>
      </w:r>
      <w:r>
        <w:rPr>
          <w:rFonts w:eastAsia="Times New Roman" w:cstheme="minorHAnsi"/>
          <w:lang w:val="ro-RO"/>
        </w:rPr>
        <w:t>2022 în domeniul S</w:t>
      </w:r>
      <w:r w:rsidRPr="00523536">
        <w:rPr>
          <w:rFonts w:eastAsia="Times New Roman" w:cstheme="minorHAnsi"/>
          <w:lang w:val="ro-RO"/>
        </w:rPr>
        <w:t>e</w:t>
      </w:r>
      <w:r>
        <w:rPr>
          <w:rFonts w:eastAsia="Times New Roman" w:cstheme="minorHAnsi"/>
          <w:lang w:val="ro-RO"/>
        </w:rPr>
        <w:t>curității și Sănătății în M</w:t>
      </w:r>
      <w:r w:rsidRPr="00523536">
        <w:rPr>
          <w:rFonts w:eastAsia="Times New Roman" w:cstheme="minorHAnsi"/>
          <w:lang w:val="ro-RO"/>
        </w:rPr>
        <w:t xml:space="preserve">uncă din județul Timiș, </w:t>
      </w:r>
      <w:r w:rsidRPr="00523536">
        <w:rPr>
          <w:rFonts w:eastAsia="Times New Roman" w:cstheme="minorHAnsi"/>
          <w:b/>
          <w:lang w:val="ro-RO"/>
        </w:rPr>
        <w:t>al doilea din țară ca importanță pe Piața Muncii, după numărul de angajați și angajatori</w:t>
      </w:r>
      <w:r w:rsidRPr="00523536">
        <w:rPr>
          <w:rFonts w:eastAsia="Times New Roman" w:cstheme="minorHAnsi"/>
          <w:lang w:val="ro-RO"/>
        </w:rPr>
        <w:t>.</w:t>
      </w:r>
    </w:p>
    <w:p w:rsidR="005B4B15" w:rsidRPr="00523536" w:rsidRDefault="005B4B15" w:rsidP="006F0CC2">
      <w:pPr>
        <w:spacing w:after="120" w:line="276" w:lineRule="auto"/>
        <w:ind w:left="540"/>
        <w:jc w:val="both"/>
        <w:rPr>
          <w:rFonts w:eastAsia="Times New Roman" w:cstheme="minorHAnsi"/>
          <w:lang w:val="ro-RO"/>
        </w:rPr>
      </w:pPr>
      <w:r>
        <w:rPr>
          <w:b/>
        </w:rPr>
        <w:t xml:space="preserve">INSPECTORUL  ȘEF </w:t>
      </w:r>
      <w:r w:rsidR="00FE23E0">
        <w:rPr>
          <w:b/>
        </w:rPr>
        <w:t>al</w:t>
      </w:r>
      <w:r>
        <w:rPr>
          <w:b/>
        </w:rPr>
        <w:t xml:space="preserve"> </w:t>
      </w:r>
      <w:r w:rsidRPr="00523536">
        <w:rPr>
          <w:b/>
        </w:rPr>
        <w:t>I</w:t>
      </w:r>
      <w:r w:rsidRPr="00523536">
        <w:rPr>
          <w:rFonts w:eastAsia="Calibri" w:cstheme="minorHAnsi"/>
          <w:b/>
          <w:w w:val="105"/>
          <w:lang w:val="ro-RO"/>
        </w:rPr>
        <w:t>NSPECTORATUL</w:t>
      </w:r>
      <w:r>
        <w:rPr>
          <w:rFonts w:eastAsia="Calibri" w:cstheme="minorHAnsi"/>
          <w:b/>
          <w:w w:val="105"/>
          <w:lang w:val="ro-RO"/>
        </w:rPr>
        <w:t>UI</w:t>
      </w:r>
      <w:r w:rsidRPr="00523536">
        <w:rPr>
          <w:rFonts w:eastAsia="Calibri" w:cstheme="minorHAnsi"/>
          <w:b/>
          <w:w w:val="105"/>
          <w:lang w:val="ro-RO"/>
        </w:rPr>
        <w:t xml:space="preserve"> TERITORIAL DE MUNCĂ TIMIȘ</w:t>
      </w:r>
      <w:r>
        <w:rPr>
          <w:rFonts w:eastAsia="Calibri" w:cstheme="minorHAnsi"/>
          <w:b/>
          <w:w w:val="105"/>
          <w:lang w:val="ro-RO"/>
        </w:rPr>
        <w:t>, D</w:t>
      </w:r>
      <w:r w:rsidR="006F0CC2">
        <w:rPr>
          <w:rFonts w:eastAsia="Calibri" w:cstheme="minorHAnsi"/>
          <w:b/>
          <w:w w:val="105"/>
          <w:lang w:val="ro-RO"/>
        </w:rPr>
        <w:t>omnul</w:t>
      </w:r>
      <w:r>
        <w:rPr>
          <w:rFonts w:eastAsia="Calibri" w:cstheme="minorHAnsi"/>
          <w:b/>
          <w:w w:val="105"/>
          <w:lang w:val="ro-RO"/>
        </w:rPr>
        <w:t xml:space="preserve"> KAȘAI</w:t>
      </w:r>
      <w:r w:rsidR="006F0CC2">
        <w:rPr>
          <w:rFonts w:eastAsia="Calibri" w:cstheme="minorHAnsi"/>
          <w:b/>
          <w:w w:val="105"/>
          <w:lang w:val="ro-RO"/>
        </w:rPr>
        <w:t xml:space="preserve"> </w:t>
      </w:r>
      <w:r>
        <w:rPr>
          <w:rFonts w:eastAsia="Calibri" w:cstheme="minorHAnsi"/>
          <w:b/>
          <w:w w:val="105"/>
          <w:lang w:val="ro-RO"/>
        </w:rPr>
        <w:t xml:space="preserve">PAVEL, </w:t>
      </w:r>
      <w:r w:rsidRPr="006F0CC2">
        <w:rPr>
          <w:rFonts w:eastAsia="Calibri" w:cstheme="minorHAnsi"/>
          <w:w w:val="105"/>
          <w:lang w:val="ro-RO"/>
        </w:rPr>
        <w:t xml:space="preserve">a </w:t>
      </w:r>
      <w:r w:rsidR="006F0CC2" w:rsidRPr="006F0CC2">
        <w:rPr>
          <w:rFonts w:eastAsia="Calibri" w:cstheme="minorHAnsi"/>
          <w:w w:val="105"/>
          <w:lang w:val="ro-RO"/>
        </w:rPr>
        <w:t>luat</w:t>
      </w:r>
      <w:r w:rsidRPr="006F0CC2">
        <w:rPr>
          <w:rFonts w:eastAsia="Calibri" w:cstheme="minorHAnsi"/>
          <w:w w:val="105"/>
          <w:lang w:val="ro-RO"/>
        </w:rPr>
        <w:t xml:space="preserve"> cuvântul </w:t>
      </w:r>
      <w:r w:rsidR="006F0CC2" w:rsidRPr="006F0CC2">
        <w:rPr>
          <w:rFonts w:eastAsia="Calibri" w:cstheme="minorHAnsi"/>
          <w:w w:val="105"/>
          <w:lang w:val="ro-RO"/>
        </w:rPr>
        <w:t>în</w:t>
      </w:r>
      <w:r w:rsidRPr="006F0CC2">
        <w:rPr>
          <w:rFonts w:eastAsia="Calibri" w:cstheme="minorHAnsi"/>
          <w:w w:val="105"/>
          <w:lang w:val="ro-RO"/>
        </w:rPr>
        <w:t xml:space="preserve"> deschidere</w:t>
      </w:r>
      <w:r w:rsidR="006F0CC2" w:rsidRPr="006F0CC2">
        <w:rPr>
          <w:rFonts w:eastAsia="Calibri" w:cstheme="minorHAnsi"/>
          <w:w w:val="105"/>
          <w:lang w:val="ro-RO"/>
        </w:rPr>
        <w:t>a</w:t>
      </w:r>
      <w:r w:rsidR="006F0CC2">
        <w:rPr>
          <w:rFonts w:eastAsia="Calibri" w:cstheme="minorHAnsi"/>
          <w:b/>
          <w:w w:val="105"/>
          <w:lang w:val="ro-RO"/>
        </w:rPr>
        <w:t xml:space="preserve"> CONFERINȚEI</w:t>
      </w:r>
      <w:r>
        <w:rPr>
          <w:rFonts w:eastAsia="Calibri" w:cstheme="minorHAnsi"/>
          <w:b/>
          <w:w w:val="105"/>
          <w:lang w:val="ro-RO"/>
        </w:rPr>
        <w:t xml:space="preserve">, </w:t>
      </w:r>
      <w:r w:rsidR="006F0CC2">
        <w:rPr>
          <w:rFonts w:eastAsia="Calibri" w:cstheme="minorHAnsi"/>
          <w:b/>
          <w:w w:val="105"/>
          <w:lang w:val="ro-RO"/>
        </w:rPr>
        <w:t>a</w:t>
      </w:r>
      <w:r>
        <w:rPr>
          <w:rFonts w:eastAsia="Calibri" w:cstheme="minorHAnsi"/>
          <w:b/>
          <w:w w:val="105"/>
          <w:lang w:val="ro-RO"/>
        </w:rPr>
        <w:t xml:space="preserve"> prezenta</w:t>
      </w:r>
      <w:r w:rsidR="006F0CC2">
        <w:rPr>
          <w:rFonts w:eastAsia="Calibri" w:cstheme="minorHAnsi"/>
          <w:b/>
          <w:w w:val="105"/>
          <w:lang w:val="ro-RO"/>
        </w:rPr>
        <w:t>t</w:t>
      </w:r>
      <w:r>
        <w:rPr>
          <w:rFonts w:eastAsia="Calibri" w:cstheme="minorHAnsi"/>
          <w:b/>
          <w:w w:val="105"/>
          <w:lang w:val="ro-RO"/>
        </w:rPr>
        <w:t xml:space="preserve"> lectori</w:t>
      </w:r>
      <w:r w:rsidR="006F0CC2">
        <w:rPr>
          <w:rFonts w:eastAsia="Calibri" w:cstheme="minorHAnsi"/>
          <w:b/>
          <w:w w:val="105"/>
          <w:lang w:val="ro-RO"/>
        </w:rPr>
        <w:t>i</w:t>
      </w:r>
      <w:r>
        <w:rPr>
          <w:rFonts w:eastAsia="Calibri" w:cstheme="minorHAnsi"/>
          <w:b/>
          <w:w w:val="105"/>
          <w:lang w:val="ro-RO"/>
        </w:rPr>
        <w:t xml:space="preserve"> și invitați</w:t>
      </w:r>
      <w:r w:rsidR="006F0CC2">
        <w:rPr>
          <w:rFonts w:eastAsia="Calibri" w:cstheme="minorHAnsi"/>
          <w:b/>
          <w:w w:val="105"/>
          <w:lang w:val="ro-RO"/>
        </w:rPr>
        <w:t xml:space="preserve">i </w:t>
      </w:r>
      <w:r w:rsidR="006F0CC2" w:rsidRPr="006F0CC2">
        <w:rPr>
          <w:rFonts w:eastAsia="Calibri" w:cstheme="minorHAnsi"/>
          <w:w w:val="105"/>
          <w:lang w:val="ro-RO"/>
        </w:rPr>
        <w:t>la</w:t>
      </w:r>
      <w:r w:rsidR="006F0CC2">
        <w:rPr>
          <w:rFonts w:eastAsia="Calibri" w:cstheme="minorHAnsi"/>
          <w:b/>
          <w:w w:val="105"/>
          <w:lang w:val="ro-RO"/>
        </w:rPr>
        <w:t xml:space="preserve"> Conferință, </w:t>
      </w:r>
      <w:r w:rsidR="006F0CC2" w:rsidRPr="006F0CC2">
        <w:rPr>
          <w:rFonts w:eastAsia="Calibri" w:cstheme="minorHAnsi"/>
          <w:w w:val="105"/>
          <w:lang w:val="ro-RO"/>
        </w:rPr>
        <w:t>dumnealui făcând ulterior</w:t>
      </w:r>
      <w:r w:rsidR="006F0CC2">
        <w:rPr>
          <w:rFonts w:eastAsia="Calibri" w:cstheme="minorHAnsi"/>
          <w:b/>
          <w:w w:val="105"/>
          <w:lang w:val="ro-RO"/>
        </w:rPr>
        <w:t xml:space="preserve"> </w:t>
      </w:r>
      <w:r w:rsidR="006F0CC2" w:rsidRPr="006F0CC2">
        <w:rPr>
          <w:rFonts w:eastAsia="Calibri" w:cstheme="minorHAnsi"/>
          <w:w w:val="105"/>
          <w:lang w:val="ro-RO"/>
        </w:rPr>
        <w:t>o scurtă prezentare</w:t>
      </w:r>
      <w:r w:rsidR="006F0CC2">
        <w:rPr>
          <w:rFonts w:eastAsia="Calibri" w:cstheme="minorHAnsi"/>
          <w:b/>
          <w:w w:val="105"/>
          <w:lang w:val="ro-RO"/>
        </w:rPr>
        <w:t xml:space="preserve"> a</w:t>
      </w:r>
      <w:r>
        <w:rPr>
          <w:rFonts w:eastAsia="Calibri" w:cstheme="minorHAnsi"/>
          <w:b/>
          <w:w w:val="105"/>
          <w:lang w:val="ro-RO"/>
        </w:rPr>
        <w:t xml:space="preserve"> activit</w:t>
      </w:r>
      <w:r w:rsidR="006F0CC2">
        <w:rPr>
          <w:rFonts w:eastAsia="Calibri" w:cstheme="minorHAnsi"/>
          <w:b/>
          <w:w w:val="105"/>
          <w:lang w:val="ro-RO"/>
        </w:rPr>
        <w:t xml:space="preserve">ății </w:t>
      </w:r>
      <w:r>
        <w:rPr>
          <w:rFonts w:eastAsia="Calibri" w:cstheme="minorHAnsi"/>
          <w:b/>
          <w:w w:val="105"/>
          <w:lang w:val="ro-RO"/>
        </w:rPr>
        <w:t>desfășurată de Inspectorat.</w:t>
      </w:r>
    </w:p>
    <w:p w:rsidR="00523536" w:rsidRPr="00523536" w:rsidRDefault="00523536" w:rsidP="006F0CC2">
      <w:pPr>
        <w:ind w:left="540"/>
        <w:jc w:val="both"/>
        <w:rPr>
          <w:rFonts w:eastAsia="Microsoft Sans Serif"/>
          <w:w w:val="105"/>
          <w:lang w:val="ro-RO"/>
        </w:rPr>
      </w:pPr>
      <w:r w:rsidRPr="00523536">
        <w:rPr>
          <w:lang w:val="ro-RO"/>
        </w:rPr>
        <w:t>La eveniment, alături de</w:t>
      </w:r>
      <w:r>
        <w:rPr>
          <w:lang w:val="ro-RO"/>
        </w:rPr>
        <w:t xml:space="preserve"> </w:t>
      </w:r>
      <w:r w:rsidRPr="00523536">
        <w:rPr>
          <w:b/>
          <w:lang w:val="ro-RO"/>
        </w:rPr>
        <w:t>CONDUCEREA I.T.M. TIMIȘ</w:t>
      </w:r>
      <w:r>
        <w:rPr>
          <w:lang w:val="ro-RO"/>
        </w:rPr>
        <w:t xml:space="preserve">, a participat și </w:t>
      </w:r>
      <w:r w:rsidRPr="00523536">
        <w:rPr>
          <w:b/>
          <w:lang w:val="ro-RO"/>
        </w:rPr>
        <w:t>INSPECTORUL GENERAL DE STAT AL INSPECȚIEI MUNCII</w:t>
      </w:r>
      <w:r w:rsidRPr="00523536">
        <w:rPr>
          <w:lang w:val="ro-RO"/>
        </w:rPr>
        <w:t xml:space="preserve">, </w:t>
      </w:r>
      <w:r w:rsidRPr="00523536">
        <w:rPr>
          <w:b/>
          <w:lang w:val="ro-RO"/>
        </w:rPr>
        <w:t>DANTES NICOLAE BRATU</w:t>
      </w:r>
      <w:r w:rsidRPr="00523536">
        <w:rPr>
          <w:lang w:val="ro-RO"/>
        </w:rPr>
        <w:t xml:space="preserve">, care a prezentat </w:t>
      </w:r>
      <w:r w:rsidRPr="00523536">
        <w:rPr>
          <w:rFonts w:eastAsia="Calibri"/>
          <w:w w:val="105"/>
          <w:lang w:val="ro-RO"/>
        </w:rPr>
        <w:t>noutățile</w:t>
      </w:r>
      <w:r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legislative</w:t>
      </w:r>
      <w:r>
        <w:rPr>
          <w:rFonts w:eastAsia="Calibri"/>
          <w:w w:val="105"/>
          <w:lang w:val="ro-RO"/>
        </w:rPr>
        <w:t xml:space="preserve"> în domeniul Securităţii şi Sănătăţii în M</w:t>
      </w:r>
      <w:r w:rsidRPr="00523536">
        <w:rPr>
          <w:rFonts w:eastAsia="Calibri"/>
          <w:w w:val="105"/>
          <w:lang w:val="ro-RO"/>
        </w:rPr>
        <w:t>uncă</w:t>
      </w:r>
      <w:r w:rsidR="005B4B15">
        <w:rPr>
          <w:rFonts w:eastAsia="Calibri"/>
          <w:w w:val="105"/>
          <w:lang w:val="ro-RO"/>
        </w:rPr>
        <w:t xml:space="preserve">, </w:t>
      </w:r>
      <w:r w:rsidRPr="00523536">
        <w:rPr>
          <w:rFonts w:eastAsia="Calibri"/>
          <w:w w:val="105"/>
          <w:lang w:val="ro-RO"/>
        </w:rPr>
        <w:t>survenite odată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cu aprobarea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modiﬁcărilor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aduse H.G.nr.1425/2006,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în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concordanţă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cu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Legea</w:t>
      </w:r>
      <w:r w:rsidRPr="00523536">
        <w:rPr>
          <w:rFonts w:eastAsia="Calibri"/>
          <w:spacing w:val="-8"/>
          <w:w w:val="105"/>
          <w:lang w:val="ro-RO"/>
        </w:rPr>
        <w:t xml:space="preserve"> nr. </w:t>
      </w:r>
      <w:r w:rsidRPr="00523536">
        <w:rPr>
          <w:rFonts w:eastAsia="Calibri"/>
          <w:w w:val="105"/>
          <w:lang w:val="ro-RO"/>
        </w:rPr>
        <w:t>208/2021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şi</w:t>
      </w:r>
      <w:r w:rsidR="005B4B15">
        <w:rPr>
          <w:rFonts w:eastAsia="Calibri"/>
          <w:w w:val="105"/>
          <w:lang w:val="ro-RO"/>
        </w:rPr>
        <w:t xml:space="preserve"> </w:t>
      </w:r>
      <w:r w:rsidRPr="00523536">
        <w:rPr>
          <w:rFonts w:eastAsia="Calibri"/>
          <w:w w:val="105"/>
          <w:lang w:val="ro-RO"/>
        </w:rPr>
        <w:t>Legea</w:t>
      </w:r>
      <w:r w:rsidRPr="00523536">
        <w:rPr>
          <w:rFonts w:eastAsia="Calibri"/>
          <w:spacing w:val="-9"/>
          <w:w w:val="105"/>
          <w:lang w:val="ro-RO"/>
        </w:rPr>
        <w:t xml:space="preserve"> nr.</w:t>
      </w:r>
      <w:r w:rsidRPr="00523536">
        <w:rPr>
          <w:rFonts w:eastAsia="Calibri"/>
          <w:w w:val="105"/>
          <w:lang w:val="ro-RO"/>
        </w:rPr>
        <w:t xml:space="preserve">319/2006, care </w:t>
      </w:r>
      <w:r w:rsidRPr="00523536">
        <w:rPr>
          <w:rFonts w:eastAsia="Microsoft Sans Serif"/>
          <w:w w:val="105"/>
          <w:lang w:val="ro-RO"/>
        </w:rPr>
        <w:t>vizează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interpretarea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și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aplicarea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corectă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spacing w:val="-8"/>
          <w:w w:val="105"/>
          <w:lang w:val="ro-RO"/>
        </w:rPr>
        <w:t xml:space="preserve">prevederilor </w:t>
      </w:r>
      <w:r w:rsidRPr="00523536">
        <w:rPr>
          <w:rFonts w:eastAsia="Microsoft Sans Serif"/>
          <w:w w:val="105"/>
          <w:lang w:val="ro-RO"/>
        </w:rPr>
        <w:t>legislative,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atât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celor referitoare la comunicarea și cercetarea evenimentelor în care sunt implicați lucr</w:t>
      </w:r>
      <w:r w:rsidR="005B4B15">
        <w:rPr>
          <w:rFonts w:eastAsia="Microsoft Sans Serif"/>
          <w:w w:val="105"/>
          <w:lang w:val="ro-RO"/>
        </w:rPr>
        <w:t>ă</w:t>
      </w:r>
      <w:r w:rsidRPr="00523536">
        <w:rPr>
          <w:rFonts w:eastAsia="Microsoft Sans Serif"/>
          <w:w w:val="105"/>
          <w:lang w:val="ro-RO"/>
        </w:rPr>
        <w:t>tori, cât și 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posibilității de a utiliza semnătura electronică şi mediul online în emiterea și gestionarea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documentelor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aferente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relațiilor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de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muncă și securității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și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sănătății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în</w:t>
      </w:r>
      <w:r w:rsidR="005B4B15">
        <w:rPr>
          <w:rFonts w:eastAsia="Microsoft Sans Serif"/>
          <w:w w:val="105"/>
          <w:lang w:val="ro-RO"/>
        </w:rPr>
        <w:t xml:space="preserve"> </w:t>
      </w:r>
      <w:r w:rsidRPr="00523536">
        <w:rPr>
          <w:rFonts w:eastAsia="Microsoft Sans Serif"/>
          <w:w w:val="105"/>
          <w:lang w:val="ro-RO"/>
        </w:rPr>
        <w:t>muncă.</w:t>
      </w:r>
    </w:p>
    <w:p w:rsidR="00523536" w:rsidRPr="00523536" w:rsidRDefault="00523536" w:rsidP="006F0CC2">
      <w:pPr>
        <w:spacing w:after="120" w:line="276" w:lineRule="auto"/>
        <w:ind w:left="540"/>
        <w:jc w:val="both"/>
        <w:rPr>
          <w:rFonts w:eastAsia="Microsoft Sans Serif" w:cstheme="minorHAnsi"/>
          <w:lang w:val="ro-RO"/>
        </w:rPr>
      </w:pPr>
      <w:r w:rsidRPr="00523536">
        <w:rPr>
          <w:rFonts w:eastAsia="Microsoft Sans Serif" w:cstheme="minorHAnsi"/>
          <w:w w:val="105"/>
          <w:lang w:val="ro-RO"/>
        </w:rPr>
        <w:t xml:space="preserve">Sesiunea de întrebări și răspunsuri </w:t>
      </w:r>
      <w:r w:rsidRPr="00523536">
        <w:rPr>
          <w:rFonts w:eastAsia="Calibri" w:cstheme="minorHAnsi"/>
          <w:w w:val="105"/>
          <w:lang w:val="ro-RO"/>
        </w:rPr>
        <w:t xml:space="preserve">a suscitat interesul participanților, care au fost interesați de </w:t>
      </w:r>
      <w:r w:rsidRPr="00523536">
        <w:rPr>
          <w:rFonts w:eastAsia="Microsoft Sans Serif" w:cstheme="minorHAnsi"/>
          <w:w w:val="105"/>
          <w:lang w:val="ro-RO"/>
        </w:rPr>
        <w:t xml:space="preserve"> puncte de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vedere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oﬁciale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privitoare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la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punerea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în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aplicare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a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ultimelor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prevederi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legale</w:t>
      </w:r>
      <w:r w:rsidRPr="00523536">
        <w:rPr>
          <w:rFonts w:eastAsia="Microsoft Sans Serif" w:cstheme="minorHAnsi"/>
          <w:spacing w:val="6"/>
          <w:w w:val="105"/>
          <w:lang w:val="ro-RO"/>
        </w:rPr>
        <w:t xml:space="preserve">, </w:t>
      </w:r>
      <w:r w:rsidRPr="00523536">
        <w:rPr>
          <w:rFonts w:eastAsia="Microsoft Sans Serif" w:cstheme="minorHAnsi"/>
          <w:w w:val="105"/>
          <w:lang w:val="ro-RO"/>
        </w:rPr>
        <w:t>printre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principalele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subiecte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supuse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prezentării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şi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dezbaterii</w:t>
      </w:r>
      <w:r w:rsidR="005B4B15">
        <w:rPr>
          <w:rFonts w:eastAsia="Microsoft Sans Serif" w:cstheme="minorHAnsi"/>
          <w:w w:val="105"/>
          <w:lang w:val="ro-RO"/>
        </w:rPr>
        <w:t xml:space="preserve"> </w:t>
      </w:r>
      <w:r w:rsidRPr="00523536">
        <w:rPr>
          <w:rFonts w:eastAsia="Microsoft Sans Serif" w:cstheme="minorHAnsi"/>
          <w:w w:val="105"/>
          <w:lang w:val="ro-RO"/>
        </w:rPr>
        <w:t>fiind:</w:t>
      </w:r>
    </w:p>
    <w:p w:rsidR="00523536" w:rsidRPr="005B4B15" w:rsidRDefault="005B4B15" w:rsidP="006F0CC2">
      <w:pPr>
        <w:pStyle w:val="Listparagraf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120" w:line="276" w:lineRule="auto"/>
        <w:ind w:left="540" w:right="347" w:firstLine="0"/>
        <w:jc w:val="both"/>
        <w:rPr>
          <w:rFonts w:ascii="Trebuchet MS" w:eastAsia="Microsoft Sans Serif" w:hAnsi="Trebuchet MS" w:cstheme="minorHAnsi"/>
          <w:sz w:val="22"/>
          <w:szCs w:val="22"/>
          <w:lang w:val="ro-RO"/>
        </w:rPr>
      </w:pPr>
      <w:r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Comunicarea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și cercetarea accidentelor de muncă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inclusiv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a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celor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produse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în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afara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graniţelor</w:t>
      </w:r>
      <w:r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="00523536" w:rsidRP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României;</w:t>
      </w:r>
    </w:p>
    <w:p w:rsidR="00523536" w:rsidRPr="00523536" w:rsidRDefault="00523536" w:rsidP="006F0CC2">
      <w:pPr>
        <w:pStyle w:val="Listparagraf"/>
        <w:widowControl w:val="0"/>
        <w:numPr>
          <w:ilvl w:val="0"/>
          <w:numId w:val="14"/>
        </w:numPr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firstLine="0"/>
        <w:jc w:val="both"/>
        <w:rPr>
          <w:rFonts w:ascii="Trebuchet MS" w:eastAsia="Microsoft Sans Serif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Utilizarea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mediului online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în activitatea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de securitate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şi sănătate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în muncă;</w:t>
      </w:r>
    </w:p>
    <w:p w:rsidR="00E15A35" w:rsidRPr="00E15A35" w:rsidRDefault="00523536" w:rsidP="006F0CC2">
      <w:pPr>
        <w:pStyle w:val="Listparagraf"/>
        <w:widowControl w:val="0"/>
        <w:numPr>
          <w:ilvl w:val="0"/>
          <w:numId w:val="14"/>
        </w:numPr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right="997" w:firstLine="0"/>
        <w:jc w:val="both"/>
        <w:rPr>
          <w:rFonts w:ascii="Trebuchet MS" w:eastAsia="Microsoft Sans Serif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Folosirea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semnăturii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electronice,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avansată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sau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caliﬁcată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pentru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toate </w:t>
      </w:r>
    </w:p>
    <w:p w:rsidR="00523536" w:rsidRPr="00523536" w:rsidRDefault="00523536" w:rsidP="00E15A35">
      <w:pPr>
        <w:pStyle w:val="Listparagraf"/>
        <w:widowControl w:val="0"/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right="997"/>
        <w:jc w:val="both"/>
        <w:rPr>
          <w:rFonts w:ascii="Trebuchet MS" w:eastAsia="Microsoft Sans Serif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documentele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din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domeniu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l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SSM/HR;</w:t>
      </w:r>
    </w:p>
    <w:p w:rsidR="00523536" w:rsidRPr="00523536" w:rsidRDefault="00523536" w:rsidP="006F0CC2">
      <w:pPr>
        <w:pStyle w:val="Listparagraf"/>
        <w:widowControl w:val="0"/>
        <w:numPr>
          <w:ilvl w:val="0"/>
          <w:numId w:val="14"/>
        </w:numPr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firstLine="0"/>
        <w:jc w:val="both"/>
        <w:rPr>
          <w:rFonts w:ascii="Trebuchet MS" w:eastAsia="Microsoft Sans Serif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Completarea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ﬁşei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instruire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individuală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şi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consemnarea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instruirii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în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format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electronic;</w:t>
      </w:r>
    </w:p>
    <w:p w:rsidR="002B774C" w:rsidRPr="002B774C" w:rsidRDefault="00523536" w:rsidP="006F0CC2">
      <w:pPr>
        <w:pStyle w:val="Listparagraf"/>
        <w:widowControl w:val="0"/>
        <w:numPr>
          <w:ilvl w:val="0"/>
          <w:numId w:val="14"/>
        </w:numPr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right="1109" w:firstLine="0"/>
        <w:jc w:val="both"/>
        <w:rPr>
          <w:rFonts w:ascii="Trebuchet MS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Punerea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la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dispozitie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documentelor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electronice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cu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prilejul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controalelor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</w:p>
    <w:p w:rsidR="002B774C" w:rsidRDefault="002B774C" w:rsidP="002B774C">
      <w:pPr>
        <w:pStyle w:val="Listparagraf"/>
        <w:widowControl w:val="0"/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right="1109"/>
        <w:jc w:val="both"/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</w:pPr>
    </w:p>
    <w:p w:rsidR="00523536" w:rsidRPr="00523536" w:rsidRDefault="00523536" w:rsidP="002B774C">
      <w:pPr>
        <w:pStyle w:val="Listparagraf"/>
        <w:widowControl w:val="0"/>
        <w:tabs>
          <w:tab w:val="left" w:pos="842"/>
          <w:tab w:val="left" w:pos="843"/>
        </w:tabs>
        <w:autoSpaceDE w:val="0"/>
        <w:autoSpaceDN w:val="0"/>
        <w:spacing w:after="120" w:line="276" w:lineRule="auto"/>
        <w:ind w:left="540" w:right="1109"/>
        <w:jc w:val="both"/>
        <w:rPr>
          <w:rFonts w:ascii="Trebuchet MS" w:hAnsi="Trebuchet MS" w:cstheme="minorHAnsi"/>
          <w:sz w:val="22"/>
          <w:szCs w:val="22"/>
          <w:lang w:val="ro-RO"/>
        </w:rPr>
      </w:pP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efectuate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de INSPECŢIA</w:t>
      </w:r>
      <w:r w:rsidR="005B4B15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 xml:space="preserve"> </w:t>
      </w:r>
      <w:r w:rsidRPr="00523536">
        <w:rPr>
          <w:rFonts w:ascii="Trebuchet MS" w:eastAsia="Microsoft Sans Serif" w:hAnsi="Trebuchet MS" w:cstheme="minorHAnsi"/>
          <w:w w:val="105"/>
          <w:sz w:val="22"/>
          <w:szCs w:val="22"/>
          <w:lang w:val="ro-RO"/>
        </w:rPr>
        <w:t>MUNCII.</w:t>
      </w:r>
    </w:p>
    <w:p w:rsidR="006F0CC2" w:rsidRDefault="006F0CC2" w:rsidP="006F0CC2">
      <w:pPr>
        <w:spacing w:after="120" w:line="276" w:lineRule="auto"/>
        <w:ind w:left="540"/>
        <w:jc w:val="both"/>
        <w:rPr>
          <w:rFonts w:cstheme="minorHAnsi"/>
          <w:bCs/>
          <w:lang w:val="ro-RO"/>
        </w:rPr>
      </w:pPr>
      <w:r>
        <w:rPr>
          <w:rFonts w:cstheme="minorHAnsi"/>
          <w:lang w:val="ro-RO"/>
        </w:rPr>
        <w:t>Intervenția Inspectorului General de S</w:t>
      </w:r>
      <w:r w:rsidR="00523536" w:rsidRPr="00523536">
        <w:rPr>
          <w:rFonts w:cstheme="minorHAnsi"/>
          <w:lang w:val="ro-RO"/>
        </w:rPr>
        <w:t>tat a continuat cu prezentarea unuia din cele două proiecte pe care Inspecția Muncii le va dezvolta prin PNRR:</w:t>
      </w:r>
      <w:r>
        <w:rPr>
          <w:rFonts w:cstheme="minorHAnsi"/>
          <w:lang w:val="ro-RO"/>
        </w:rPr>
        <w:t xml:space="preserve"> </w:t>
      </w:r>
      <w:r w:rsidR="00523536" w:rsidRPr="00523536">
        <w:rPr>
          <w:rFonts w:cstheme="minorHAnsi"/>
          <w:b/>
          <w:i/>
          <w:lang w:val="ro-RO"/>
        </w:rPr>
        <w:t>REGES online</w:t>
      </w:r>
      <w:r w:rsidR="00523536" w:rsidRPr="00523536">
        <w:rPr>
          <w:rFonts w:cstheme="minorHAnsi"/>
          <w:lang w:val="ro-RO"/>
        </w:rPr>
        <w:t xml:space="preserve">- </w:t>
      </w:r>
      <w:r w:rsidR="00523536" w:rsidRPr="00523536">
        <w:rPr>
          <w:rFonts w:cstheme="minorHAnsi"/>
          <w:b/>
          <w:bCs/>
          <w:i/>
          <w:lang w:val="ro-RO"/>
        </w:rPr>
        <w:t xml:space="preserve">Reforma evidenței și monitorizării relațiilor de muncă. </w:t>
      </w:r>
      <w:r w:rsidR="00523536" w:rsidRPr="00523536">
        <w:rPr>
          <w:rFonts w:cstheme="minorHAnsi"/>
          <w:bCs/>
          <w:lang w:val="ro-RO"/>
        </w:rPr>
        <w:t>Au fost prezentate obiectivele proiectului</w:t>
      </w:r>
      <w:r>
        <w:rPr>
          <w:rFonts w:cstheme="minorHAnsi"/>
          <w:bCs/>
          <w:lang w:val="ro-RO"/>
        </w:rPr>
        <w:t xml:space="preserve"> </w:t>
      </w:r>
      <w:r w:rsidR="00523536" w:rsidRPr="00523536">
        <w:rPr>
          <w:rFonts w:eastAsiaTheme="minorEastAsia"/>
          <w:bCs/>
          <w:kern w:val="24"/>
          <w:lang w:val="ro-RO"/>
        </w:rPr>
        <w:t>care presupun s</w:t>
      </w:r>
      <w:r w:rsidR="00523536" w:rsidRPr="00523536">
        <w:rPr>
          <w:rFonts w:cstheme="minorHAnsi"/>
          <w:bCs/>
          <w:lang w:val="ro-RO"/>
        </w:rPr>
        <w:t xml:space="preserve">implificarea, debirocratizarea şi digitalizarea procedurii de obţinere a unui extras din registrul de evidenţă a salariaţilor, care devine accesibil online, oricărui angajat/fost angajat. </w:t>
      </w:r>
    </w:p>
    <w:p w:rsidR="006F0CC2" w:rsidRDefault="006F0CC2" w:rsidP="006F0CC2">
      <w:pPr>
        <w:spacing w:after="120" w:line="276" w:lineRule="auto"/>
        <w:ind w:left="540"/>
        <w:jc w:val="both"/>
        <w:rPr>
          <w:rFonts w:cstheme="minorHAnsi"/>
          <w:bCs/>
          <w:lang w:val="ro-RO"/>
        </w:rPr>
      </w:pPr>
      <w:r>
        <w:rPr>
          <w:rFonts w:cstheme="minorHAnsi"/>
          <w:bCs/>
          <w:lang w:val="ro-RO"/>
        </w:rPr>
        <w:t>Inspectorul General de S</w:t>
      </w:r>
      <w:r w:rsidR="00523536" w:rsidRPr="00523536">
        <w:rPr>
          <w:rFonts w:cstheme="minorHAnsi"/>
          <w:bCs/>
          <w:lang w:val="ro-RO"/>
        </w:rPr>
        <w:t>tat a susținut că gestionarea registrului are o importanță majoră în desfășurarea activității de control a Inspecției Muncii și contribuie, totodată, la elaborarea politicilor publice din domeniul pieței muncii prin informațiile pe care le pune la dispoziția autorităților și instituțiilor publice din domeniu. Acesta a expus, de asemenea, principalele beneficii pe care le va aduce noul sistem și a lansat o provocare pentru invitații prezenți la eveniment: participarea la un</w:t>
      </w:r>
      <w:r>
        <w:rPr>
          <w:rFonts w:cstheme="minorHAnsi"/>
          <w:bCs/>
          <w:lang w:val="ro-RO"/>
        </w:rPr>
        <w:t xml:space="preserve"> </w:t>
      </w:r>
      <w:r w:rsidR="00523536" w:rsidRPr="00523536">
        <w:rPr>
          <w:rFonts w:cstheme="minorHAnsi"/>
          <w:bCs/>
          <w:lang w:val="ro-RO"/>
        </w:rPr>
        <w:t xml:space="preserve">brainstorming pentru îmbunătățirea sistemului informatic REGES-ONLINE. </w:t>
      </w:r>
    </w:p>
    <w:p w:rsidR="00523536" w:rsidRPr="00523536" w:rsidRDefault="00523536" w:rsidP="006F0CC2">
      <w:pPr>
        <w:spacing w:after="120" w:line="276" w:lineRule="auto"/>
        <w:ind w:left="540"/>
        <w:jc w:val="both"/>
        <w:rPr>
          <w:rFonts w:cstheme="minorHAnsi"/>
          <w:bCs/>
          <w:lang w:val="ro-RO"/>
        </w:rPr>
      </w:pPr>
      <w:r w:rsidRPr="00523536">
        <w:rPr>
          <w:rFonts w:cstheme="minorHAnsi"/>
          <w:bCs/>
          <w:lang w:val="ro-RO"/>
        </w:rPr>
        <w:t>Propunerile acestora sunt așteptate pe canalele de comunicare ale Inspecției Muncii și ale I</w:t>
      </w:r>
      <w:r w:rsidR="006F0CC2">
        <w:rPr>
          <w:rFonts w:cstheme="minorHAnsi"/>
          <w:bCs/>
          <w:lang w:val="ro-RO"/>
        </w:rPr>
        <w:t>.</w:t>
      </w:r>
      <w:r w:rsidRPr="00523536">
        <w:rPr>
          <w:rFonts w:cstheme="minorHAnsi"/>
          <w:bCs/>
          <w:lang w:val="ro-RO"/>
        </w:rPr>
        <w:t>T</w:t>
      </w:r>
      <w:r w:rsidR="006F0CC2">
        <w:rPr>
          <w:rFonts w:cstheme="minorHAnsi"/>
          <w:bCs/>
          <w:lang w:val="ro-RO"/>
        </w:rPr>
        <w:t>.</w:t>
      </w:r>
      <w:r w:rsidRPr="00523536">
        <w:rPr>
          <w:rFonts w:cstheme="minorHAnsi"/>
          <w:bCs/>
          <w:lang w:val="ro-RO"/>
        </w:rPr>
        <w:t>M</w:t>
      </w:r>
      <w:r w:rsidR="006F0CC2">
        <w:rPr>
          <w:rFonts w:cstheme="minorHAnsi"/>
          <w:bCs/>
          <w:lang w:val="ro-RO"/>
        </w:rPr>
        <w:t>.</w:t>
      </w:r>
      <w:r w:rsidRPr="00523536">
        <w:rPr>
          <w:rFonts w:cstheme="minorHAnsi"/>
          <w:bCs/>
          <w:lang w:val="ro-RO"/>
        </w:rPr>
        <w:t xml:space="preserve"> Timiș și vor fi analizate de echipele de proiect. </w:t>
      </w:r>
    </w:p>
    <w:p w:rsidR="00623359" w:rsidRPr="00CE3442" w:rsidRDefault="00336190" w:rsidP="002B774C">
      <w:pPr>
        <w:spacing w:after="120" w:line="276" w:lineRule="auto"/>
        <w:ind w:left="540"/>
        <w:jc w:val="both"/>
        <w:rPr>
          <w:b/>
          <w:sz w:val="32"/>
          <w:szCs w:val="32"/>
          <w:lang w:val="ro-RO"/>
        </w:rPr>
      </w:pPr>
      <w:r w:rsidRPr="00523536">
        <w:rPr>
          <w:b/>
          <w:i/>
        </w:rPr>
        <w:t xml:space="preserve"> </w:t>
      </w:r>
      <w:r w:rsidR="00623359" w:rsidRPr="00CE3442">
        <w:rPr>
          <w:b/>
          <w:sz w:val="32"/>
          <w:szCs w:val="32"/>
          <w:lang w:val="ro-RO"/>
        </w:rPr>
        <w:t>INSPECTOR ŞEF</w:t>
      </w:r>
    </w:p>
    <w:p w:rsidR="00623359" w:rsidRPr="00CE3442" w:rsidRDefault="00623359" w:rsidP="00623359">
      <w:pPr>
        <w:ind w:right="432"/>
        <w:rPr>
          <w:sz w:val="32"/>
          <w:szCs w:val="32"/>
        </w:rPr>
      </w:pPr>
      <w:r>
        <w:rPr>
          <w:b/>
          <w:sz w:val="32"/>
          <w:szCs w:val="32"/>
          <w:lang w:val="ro-RO"/>
        </w:rPr>
        <w:t xml:space="preserve">      </w:t>
      </w:r>
      <w:r w:rsidRPr="00CE3442">
        <w:rPr>
          <w:b/>
          <w:sz w:val="32"/>
          <w:szCs w:val="32"/>
          <w:lang w:val="ro-RO"/>
        </w:rPr>
        <w:t>EC. KAŞAI PAVEL</w:t>
      </w:r>
      <w:r w:rsidRPr="00CE3442">
        <w:rPr>
          <w:b/>
          <w:sz w:val="32"/>
          <w:szCs w:val="32"/>
        </w:rPr>
        <w:t xml:space="preserve">                                </w:t>
      </w:r>
    </w:p>
    <w:p w:rsidR="00623359" w:rsidRPr="000B6B36" w:rsidRDefault="00623359" w:rsidP="00623359">
      <w:pPr>
        <w:rPr>
          <w:b/>
        </w:rPr>
      </w:pPr>
      <w:r>
        <w:rPr>
          <w:b/>
          <w:i/>
        </w:rPr>
        <w:t xml:space="preserve">                                                                 </w:t>
      </w:r>
    </w:p>
    <w:p w:rsidR="00623359" w:rsidRPr="00623359" w:rsidRDefault="009C01B2" w:rsidP="006F0CC2">
      <w:pPr>
        <w:spacing w:after="120" w:line="276" w:lineRule="auto"/>
        <w:ind w:left="540"/>
        <w:jc w:val="both"/>
      </w:pPr>
      <w:r>
        <w:rPr>
          <w:noProof/>
        </w:rPr>
        <w:drawing>
          <wp:inline distT="0" distB="0" distL="0" distR="0">
            <wp:extent cx="2873376" cy="2155031"/>
            <wp:effectExtent l="19050" t="0" r="3174" b="0"/>
            <wp:docPr id="3" name="ymail_attachmentId1655b5fc-cc0f-4a5c-9714-b4b6ef73d07c" descr="cid:1655b5fc-cc0f-4a5c-9714-b4b6ef73d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655b5fc-cc0f-4a5c-9714-b4b6ef73d07c" descr="cid:1655b5fc-cc0f-4a5c-9714-b4b6ef73d07c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04" cy="21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74C">
        <w:rPr>
          <w:noProof/>
        </w:rPr>
        <w:drawing>
          <wp:inline distT="0" distB="0" distL="0" distR="0">
            <wp:extent cx="3121025" cy="2162175"/>
            <wp:effectExtent l="19050" t="0" r="3175" b="0"/>
            <wp:docPr id="4" name="ymail_attachmentId097ddb21-9243-4a98-b55a-01f3dd3c5958" descr="cid:097ddb21-9243-4a98-b55a-01f3dd3c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97ddb21-9243-4a98-b55a-01f3dd3c5958" descr="cid:097ddb21-9243-4a98-b55a-01f3dd3c5958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24" cy="21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74C">
        <w:rPr>
          <w:noProof/>
        </w:rPr>
        <w:drawing>
          <wp:inline distT="0" distB="0" distL="0" distR="0">
            <wp:extent cx="3285067" cy="2019300"/>
            <wp:effectExtent l="19050" t="0" r="0" b="0"/>
            <wp:docPr id="6" name="ymail_attachmentId2fad73c9-760b-4e1c-9dd1-60da9c215757" descr="cid:2fad73c9-760b-4e1c-9dd1-60da9c21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2fad73c9-760b-4e1c-9dd1-60da9c215757" descr="cid:2fad73c9-760b-4e1c-9dd1-60da9c215757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99" cy="20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299" cy="2085975"/>
            <wp:effectExtent l="19050" t="0" r="1" b="0"/>
            <wp:docPr id="11" name="ymail_attachmentId94715fb0-2704-4283-b787-9b357c9c23db" descr="cid:94715fb0-2704-4283-b787-9b357c9c2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4715fb0-2704-4283-b787-9b357c9c23db" descr="cid:94715fb0-2704-4283-b787-9b357c9c23db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35" cy="208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359" w:rsidRPr="00623359" w:rsidSect="00523536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48" w:right="927" w:bottom="425" w:left="567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FB" w:rsidRDefault="00A835FB" w:rsidP="00CD5B3B">
      <w:r>
        <w:separator/>
      </w:r>
    </w:p>
  </w:endnote>
  <w:endnote w:type="continuationSeparator" w:id="1">
    <w:p w:rsidR="00A835FB" w:rsidRDefault="00A835FB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7B" w:rsidRPr="00B3455F" w:rsidRDefault="0082247B" w:rsidP="0082247B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>Str. Calea Timișoarei</w:t>
    </w:r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Comuna Giroc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r w:rsidRPr="00B3455F">
      <w:rPr>
        <w:sz w:val="16"/>
        <w:szCs w:val="16"/>
      </w:rPr>
      <w:tab/>
    </w:r>
  </w:p>
  <w:p w:rsidR="0082247B" w:rsidRPr="00B3455F" w:rsidRDefault="0082247B" w:rsidP="0082247B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82247B" w:rsidRPr="00B3455F" w:rsidRDefault="0082247B" w:rsidP="0082247B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82247B" w:rsidRDefault="00B241D7" w:rsidP="0082247B">
    <w:pPr>
      <w:pStyle w:val="Subsol"/>
      <w:ind w:left="1080"/>
      <w:rPr>
        <w:b/>
        <w:sz w:val="16"/>
        <w:szCs w:val="16"/>
      </w:rPr>
    </w:pPr>
    <w:hyperlink r:id="rId1" w:history="1">
      <w:r w:rsidR="0082247B" w:rsidRPr="004E7874">
        <w:rPr>
          <w:rStyle w:val="Hyperlink"/>
          <w:b/>
          <w:sz w:val="16"/>
          <w:szCs w:val="16"/>
        </w:rPr>
        <w:t>www.itmtimis.ro</w:t>
      </w:r>
    </w:hyperlink>
  </w:p>
  <w:p w:rsidR="0082247B" w:rsidRDefault="0082247B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1F" w:rsidRPr="00B3455F" w:rsidRDefault="0040371F" w:rsidP="00227966">
    <w:pPr>
      <w:pStyle w:val="Subsol"/>
      <w:ind w:left="1701"/>
      <w:jc w:val="center"/>
      <w:rPr>
        <w:sz w:val="16"/>
        <w:szCs w:val="16"/>
      </w:rPr>
    </w:pPr>
  </w:p>
  <w:p w:rsidR="0077621C" w:rsidRPr="00B3455F" w:rsidRDefault="000C63D8" w:rsidP="006B14BD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r w:rsidR="00E26D27">
      <w:rPr>
        <w:sz w:val="16"/>
        <w:szCs w:val="16"/>
      </w:rPr>
      <w:t>Calea Timișoarei</w:t>
    </w:r>
    <w:r w:rsidR="0077621C" w:rsidRPr="00B3455F">
      <w:rPr>
        <w:sz w:val="16"/>
        <w:szCs w:val="16"/>
      </w:rPr>
      <w:t>, nr.</w:t>
    </w:r>
    <w:r w:rsidR="00E26D27">
      <w:rPr>
        <w:sz w:val="16"/>
        <w:szCs w:val="16"/>
      </w:rPr>
      <w:t>72</w:t>
    </w:r>
    <w:r w:rsidR="0077621C" w:rsidRPr="00B3455F">
      <w:rPr>
        <w:sz w:val="16"/>
        <w:szCs w:val="16"/>
      </w:rPr>
      <w:t xml:space="preserve">, </w:t>
    </w:r>
    <w:r>
      <w:rPr>
        <w:sz w:val="16"/>
        <w:szCs w:val="16"/>
      </w:rPr>
      <w:t xml:space="preserve">Comuna </w:t>
    </w:r>
    <w:r w:rsidR="00E26D27">
      <w:rPr>
        <w:sz w:val="16"/>
        <w:szCs w:val="16"/>
      </w:rPr>
      <w:t>Giroc</w:t>
    </w:r>
    <w:r w:rsidR="0077621C"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="0077621C" w:rsidRPr="00B3455F">
      <w:rPr>
        <w:sz w:val="16"/>
        <w:szCs w:val="16"/>
      </w:rPr>
      <w:t>Timiş</w:t>
    </w:r>
    <w:r w:rsidR="0077621C" w:rsidRPr="00B3455F">
      <w:rPr>
        <w:sz w:val="16"/>
        <w:szCs w:val="16"/>
      </w:rPr>
      <w:tab/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E26D27" w:rsidRDefault="00B241D7" w:rsidP="006B14BD">
    <w:pPr>
      <w:pStyle w:val="Subsol"/>
      <w:ind w:left="1080"/>
      <w:rPr>
        <w:b/>
        <w:sz w:val="16"/>
        <w:szCs w:val="16"/>
      </w:rPr>
    </w:pPr>
    <w:hyperlink r:id="rId1" w:history="1">
      <w:r w:rsidR="00E26D27" w:rsidRPr="004E7874">
        <w:rPr>
          <w:rStyle w:val="Hyperlink"/>
          <w:b/>
          <w:sz w:val="16"/>
          <w:szCs w:val="16"/>
        </w:rPr>
        <w:t>www.itmtimis.ro</w:t>
      </w:r>
    </w:hyperlink>
  </w:p>
  <w:p w:rsidR="00D473BE" w:rsidRPr="00670E9D" w:rsidRDefault="00D473BE" w:rsidP="00066C46">
    <w:pPr>
      <w:pStyle w:val="Subsol"/>
      <w:ind w:left="1080"/>
      <w:rPr>
        <w:sz w:val="14"/>
      </w:rPr>
    </w:pPr>
  </w:p>
  <w:p w:rsidR="00D473BE" w:rsidRDefault="00D473BE" w:rsidP="0094150A">
    <w:pPr>
      <w:pStyle w:val="Subsol"/>
      <w:ind w:left="810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FB" w:rsidRDefault="00A835FB" w:rsidP="00CD5B3B">
      <w:r>
        <w:separator/>
      </w:r>
    </w:p>
  </w:footnote>
  <w:footnote w:type="continuationSeparator" w:id="1">
    <w:p w:rsidR="00A835FB" w:rsidRDefault="00A835FB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CD" w:rsidRPr="005B5FCD" w:rsidRDefault="00B241D7" w:rsidP="005B5FCD">
    <w:pPr>
      <w:pStyle w:val="Ante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8.7pt;margin-top:20.75pt;width:284.2pt;height:51.9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<v:textbox>
            <w:txbxContent>
              <w:p w:rsidR="0082247B" w:rsidRDefault="0082247B" w:rsidP="0082247B">
                <w:pPr>
                  <w:rPr>
                    <w:smallCaps/>
                    <w:sz w:val="32"/>
                  </w:rPr>
                </w:pPr>
                <w:r w:rsidRPr="00F5245E">
                  <w:rPr>
                    <w:smallCaps/>
                    <w:sz w:val="32"/>
                  </w:rPr>
                  <w:t xml:space="preserve">Inspecţia Muncii </w:t>
                </w:r>
              </w:p>
              <w:p w:rsidR="0082247B" w:rsidRDefault="0082247B" w:rsidP="0082247B">
                <w:pPr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inspectoratul teritorial de munc</w:t>
                </w:r>
                <w:r>
                  <w:rPr>
                    <w:smallCaps/>
                    <w:sz w:val="32"/>
                    <w:lang w:val="ro-RO"/>
                  </w:rPr>
                  <w:t>ă</w:t>
                </w:r>
                <w:r>
                  <w:rPr>
                    <w:smallCaps/>
                    <w:sz w:val="32"/>
                  </w:rPr>
                  <w:t xml:space="preserve"> timiş</w:t>
                </w:r>
              </w:p>
              <w:p w:rsidR="0082247B" w:rsidRDefault="0082247B" w:rsidP="0082247B">
                <w:pPr>
                  <w:rPr>
                    <w:smallCaps/>
                    <w:sz w:val="32"/>
                  </w:rPr>
                </w:pPr>
              </w:p>
              <w:p w:rsidR="0082247B" w:rsidRPr="00F5245E" w:rsidRDefault="0082247B" w:rsidP="0082247B">
                <w:pPr>
                  <w:rPr>
                    <w:smallCaps/>
                    <w:sz w:val="3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B241D7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9776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Frspaiere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caracter personal, înregistrat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>la Autoritatea Naţională</w:t>
                        </w:r>
                      </w:smartTag>
                      <w:r w:rsidRPr="00CF3A51">
                        <w:rPr>
                          <w:sz w:val="14"/>
                          <w:szCs w:val="14"/>
                        </w:rPr>
                        <w:t xml:space="preserve"> de Supraveghere a Prelucrării Datelor cu Caracter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3B17E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170CB4"/>
    <w:multiLevelType w:val="hybridMultilevel"/>
    <w:tmpl w:val="2FDC5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99"/>
    <w:rsid w:val="00006E22"/>
    <w:rsid w:val="00010AAC"/>
    <w:rsid w:val="00021CF3"/>
    <w:rsid w:val="000302C9"/>
    <w:rsid w:val="00031E19"/>
    <w:rsid w:val="00043406"/>
    <w:rsid w:val="000567FC"/>
    <w:rsid w:val="00066C46"/>
    <w:rsid w:val="00075BBE"/>
    <w:rsid w:val="000767C9"/>
    <w:rsid w:val="00092C9F"/>
    <w:rsid w:val="0009627E"/>
    <w:rsid w:val="000A0812"/>
    <w:rsid w:val="000B0E2D"/>
    <w:rsid w:val="000B5A87"/>
    <w:rsid w:val="000B6B36"/>
    <w:rsid w:val="000C1C4D"/>
    <w:rsid w:val="000C3F96"/>
    <w:rsid w:val="000C63D8"/>
    <w:rsid w:val="000C775B"/>
    <w:rsid w:val="000D5C52"/>
    <w:rsid w:val="00100F36"/>
    <w:rsid w:val="00124BFF"/>
    <w:rsid w:val="00143641"/>
    <w:rsid w:val="00153C82"/>
    <w:rsid w:val="001547F3"/>
    <w:rsid w:val="00156AA2"/>
    <w:rsid w:val="00156CDC"/>
    <w:rsid w:val="001655D8"/>
    <w:rsid w:val="00173D32"/>
    <w:rsid w:val="001A3C2F"/>
    <w:rsid w:val="001A5592"/>
    <w:rsid w:val="001A6DE1"/>
    <w:rsid w:val="001B5AD4"/>
    <w:rsid w:val="001E03C9"/>
    <w:rsid w:val="001F3097"/>
    <w:rsid w:val="001F456F"/>
    <w:rsid w:val="001F5F19"/>
    <w:rsid w:val="002048C5"/>
    <w:rsid w:val="00204E77"/>
    <w:rsid w:val="00210E52"/>
    <w:rsid w:val="00213FC9"/>
    <w:rsid w:val="0022184C"/>
    <w:rsid w:val="00227966"/>
    <w:rsid w:val="00243013"/>
    <w:rsid w:val="00245022"/>
    <w:rsid w:val="00246EC0"/>
    <w:rsid w:val="002848F3"/>
    <w:rsid w:val="00295534"/>
    <w:rsid w:val="002A5742"/>
    <w:rsid w:val="002B357A"/>
    <w:rsid w:val="002B382A"/>
    <w:rsid w:val="002B774C"/>
    <w:rsid w:val="002C5400"/>
    <w:rsid w:val="002D499D"/>
    <w:rsid w:val="0030135A"/>
    <w:rsid w:val="00306D72"/>
    <w:rsid w:val="003070E3"/>
    <w:rsid w:val="00312A5B"/>
    <w:rsid w:val="0032461D"/>
    <w:rsid w:val="0032574C"/>
    <w:rsid w:val="00332152"/>
    <w:rsid w:val="00336190"/>
    <w:rsid w:val="0034448B"/>
    <w:rsid w:val="00353678"/>
    <w:rsid w:val="0035613F"/>
    <w:rsid w:val="00360BAC"/>
    <w:rsid w:val="00362768"/>
    <w:rsid w:val="00364B82"/>
    <w:rsid w:val="00370FFB"/>
    <w:rsid w:val="00374FDC"/>
    <w:rsid w:val="00376AD0"/>
    <w:rsid w:val="003910D3"/>
    <w:rsid w:val="003A6D26"/>
    <w:rsid w:val="003B17EF"/>
    <w:rsid w:val="003B26C7"/>
    <w:rsid w:val="003B4DA2"/>
    <w:rsid w:val="003C6677"/>
    <w:rsid w:val="003D4FE5"/>
    <w:rsid w:val="003D6CD8"/>
    <w:rsid w:val="00401D19"/>
    <w:rsid w:val="0040371F"/>
    <w:rsid w:val="00413882"/>
    <w:rsid w:val="00423F57"/>
    <w:rsid w:val="00431C85"/>
    <w:rsid w:val="0043328D"/>
    <w:rsid w:val="0044414F"/>
    <w:rsid w:val="00451E71"/>
    <w:rsid w:val="00480C61"/>
    <w:rsid w:val="00493AD5"/>
    <w:rsid w:val="004A2A64"/>
    <w:rsid w:val="004C28B3"/>
    <w:rsid w:val="004C72C8"/>
    <w:rsid w:val="004C7963"/>
    <w:rsid w:val="004D5B02"/>
    <w:rsid w:val="004E5DDD"/>
    <w:rsid w:val="004E60FB"/>
    <w:rsid w:val="004E6163"/>
    <w:rsid w:val="004F713C"/>
    <w:rsid w:val="00507104"/>
    <w:rsid w:val="00520545"/>
    <w:rsid w:val="00523536"/>
    <w:rsid w:val="005459B7"/>
    <w:rsid w:val="005459DD"/>
    <w:rsid w:val="00546F3D"/>
    <w:rsid w:val="0057176C"/>
    <w:rsid w:val="0059472A"/>
    <w:rsid w:val="005A1948"/>
    <w:rsid w:val="005B30BF"/>
    <w:rsid w:val="005B4B15"/>
    <w:rsid w:val="005B5FCD"/>
    <w:rsid w:val="005D1F58"/>
    <w:rsid w:val="005E6FFA"/>
    <w:rsid w:val="005F5CC5"/>
    <w:rsid w:val="006056F6"/>
    <w:rsid w:val="006101BB"/>
    <w:rsid w:val="00610906"/>
    <w:rsid w:val="00621EE6"/>
    <w:rsid w:val="00623359"/>
    <w:rsid w:val="006514B3"/>
    <w:rsid w:val="00652D90"/>
    <w:rsid w:val="00656CC9"/>
    <w:rsid w:val="006621E6"/>
    <w:rsid w:val="00670E9D"/>
    <w:rsid w:val="00672FDA"/>
    <w:rsid w:val="00683402"/>
    <w:rsid w:val="00683D64"/>
    <w:rsid w:val="00692EBA"/>
    <w:rsid w:val="00695B59"/>
    <w:rsid w:val="00697775"/>
    <w:rsid w:val="006A263E"/>
    <w:rsid w:val="006B14BD"/>
    <w:rsid w:val="006B528B"/>
    <w:rsid w:val="006C50E6"/>
    <w:rsid w:val="006D7B7A"/>
    <w:rsid w:val="006E0717"/>
    <w:rsid w:val="006E534C"/>
    <w:rsid w:val="006E6C28"/>
    <w:rsid w:val="006F0CC2"/>
    <w:rsid w:val="006F16AE"/>
    <w:rsid w:val="0070648E"/>
    <w:rsid w:val="00706765"/>
    <w:rsid w:val="0071295F"/>
    <w:rsid w:val="0071655A"/>
    <w:rsid w:val="00720CFF"/>
    <w:rsid w:val="00722BEC"/>
    <w:rsid w:val="0073705B"/>
    <w:rsid w:val="007659A1"/>
    <w:rsid w:val="00766E0E"/>
    <w:rsid w:val="0077621C"/>
    <w:rsid w:val="00781729"/>
    <w:rsid w:val="00784CF3"/>
    <w:rsid w:val="0079176B"/>
    <w:rsid w:val="00792399"/>
    <w:rsid w:val="00793AD8"/>
    <w:rsid w:val="007A359C"/>
    <w:rsid w:val="007B6CBA"/>
    <w:rsid w:val="007C431C"/>
    <w:rsid w:val="007D3ABF"/>
    <w:rsid w:val="007D42A8"/>
    <w:rsid w:val="007E0C06"/>
    <w:rsid w:val="007E1034"/>
    <w:rsid w:val="007F1DD8"/>
    <w:rsid w:val="007F58AC"/>
    <w:rsid w:val="008029B5"/>
    <w:rsid w:val="0081023E"/>
    <w:rsid w:val="0082247B"/>
    <w:rsid w:val="0082358E"/>
    <w:rsid w:val="0083029A"/>
    <w:rsid w:val="00831C48"/>
    <w:rsid w:val="0084071D"/>
    <w:rsid w:val="00851104"/>
    <w:rsid w:val="0085364D"/>
    <w:rsid w:val="00854B75"/>
    <w:rsid w:val="00862A0A"/>
    <w:rsid w:val="00865B60"/>
    <w:rsid w:val="00872F52"/>
    <w:rsid w:val="00880939"/>
    <w:rsid w:val="00891A60"/>
    <w:rsid w:val="00893B42"/>
    <w:rsid w:val="008946BA"/>
    <w:rsid w:val="0089694F"/>
    <w:rsid w:val="008A2AC0"/>
    <w:rsid w:val="008B04F5"/>
    <w:rsid w:val="008D5B0F"/>
    <w:rsid w:val="008E2416"/>
    <w:rsid w:val="008E6478"/>
    <w:rsid w:val="008F4E57"/>
    <w:rsid w:val="00912ED3"/>
    <w:rsid w:val="00915096"/>
    <w:rsid w:val="0092167E"/>
    <w:rsid w:val="00927367"/>
    <w:rsid w:val="00931BD9"/>
    <w:rsid w:val="0094150A"/>
    <w:rsid w:val="009510DA"/>
    <w:rsid w:val="00951BCB"/>
    <w:rsid w:val="00961647"/>
    <w:rsid w:val="00964E01"/>
    <w:rsid w:val="00981E2F"/>
    <w:rsid w:val="00983486"/>
    <w:rsid w:val="009862D8"/>
    <w:rsid w:val="00994641"/>
    <w:rsid w:val="009A3E71"/>
    <w:rsid w:val="009B05EF"/>
    <w:rsid w:val="009B08E4"/>
    <w:rsid w:val="009B1E18"/>
    <w:rsid w:val="009C01B2"/>
    <w:rsid w:val="009C0982"/>
    <w:rsid w:val="009C37C2"/>
    <w:rsid w:val="009C6FAB"/>
    <w:rsid w:val="009D4002"/>
    <w:rsid w:val="009F0299"/>
    <w:rsid w:val="009F3594"/>
    <w:rsid w:val="00A305F4"/>
    <w:rsid w:val="00A311F5"/>
    <w:rsid w:val="00A34EEA"/>
    <w:rsid w:val="00A411C1"/>
    <w:rsid w:val="00A46994"/>
    <w:rsid w:val="00A504B6"/>
    <w:rsid w:val="00A524C1"/>
    <w:rsid w:val="00A835FB"/>
    <w:rsid w:val="00A90599"/>
    <w:rsid w:val="00AA6432"/>
    <w:rsid w:val="00AB4F01"/>
    <w:rsid w:val="00AC01AC"/>
    <w:rsid w:val="00AC31B1"/>
    <w:rsid w:val="00AC6A9A"/>
    <w:rsid w:val="00AD41DA"/>
    <w:rsid w:val="00AE0440"/>
    <w:rsid w:val="00AE26B4"/>
    <w:rsid w:val="00AF36BC"/>
    <w:rsid w:val="00AF3A6E"/>
    <w:rsid w:val="00B11A9E"/>
    <w:rsid w:val="00B13BB4"/>
    <w:rsid w:val="00B241D7"/>
    <w:rsid w:val="00B3354B"/>
    <w:rsid w:val="00B3455F"/>
    <w:rsid w:val="00B44B6B"/>
    <w:rsid w:val="00B51C04"/>
    <w:rsid w:val="00B62CF4"/>
    <w:rsid w:val="00B70872"/>
    <w:rsid w:val="00B77558"/>
    <w:rsid w:val="00B83372"/>
    <w:rsid w:val="00B97589"/>
    <w:rsid w:val="00BC7C22"/>
    <w:rsid w:val="00BD25C4"/>
    <w:rsid w:val="00BD2B13"/>
    <w:rsid w:val="00BD52E2"/>
    <w:rsid w:val="00BE0187"/>
    <w:rsid w:val="00BE1CEA"/>
    <w:rsid w:val="00BE3BFD"/>
    <w:rsid w:val="00BE738D"/>
    <w:rsid w:val="00BF2442"/>
    <w:rsid w:val="00BF39FC"/>
    <w:rsid w:val="00BF4A30"/>
    <w:rsid w:val="00C05F49"/>
    <w:rsid w:val="00C164E3"/>
    <w:rsid w:val="00C20EF1"/>
    <w:rsid w:val="00C30FB1"/>
    <w:rsid w:val="00C33278"/>
    <w:rsid w:val="00C4665A"/>
    <w:rsid w:val="00C50C63"/>
    <w:rsid w:val="00C57B85"/>
    <w:rsid w:val="00C66906"/>
    <w:rsid w:val="00C677FC"/>
    <w:rsid w:val="00C76669"/>
    <w:rsid w:val="00C81BB9"/>
    <w:rsid w:val="00C9108F"/>
    <w:rsid w:val="00C91379"/>
    <w:rsid w:val="00C92B6E"/>
    <w:rsid w:val="00CA08F1"/>
    <w:rsid w:val="00CA713C"/>
    <w:rsid w:val="00CC4250"/>
    <w:rsid w:val="00CC59FC"/>
    <w:rsid w:val="00CD0C6C"/>
    <w:rsid w:val="00CD0F06"/>
    <w:rsid w:val="00CD4A29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362A4"/>
    <w:rsid w:val="00D458C9"/>
    <w:rsid w:val="00D473BE"/>
    <w:rsid w:val="00D54CE4"/>
    <w:rsid w:val="00D55F00"/>
    <w:rsid w:val="00D62411"/>
    <w:rsid w:val="00D7179D"/>
    <w:rsid w:val="00D8107F"/>
    <w:rsid w:val="00D853D5"/>
    <w:rsid w:val="00D86F1D"/>
    <w:rsid w:val="00D870EE"/>
    <w:rsid w:val="00DA2298"/>
    <w:rsid w:val="00DA29BC"/>
    <w:rsid w:val="00DB069F"/>
    <w:rsid w:val="00DB71FD"/>
    <w:rsid w:val="00DC25BF"/>
    <w:rsid w:val="00DD628C"/>
    <w:rsid w:val="00DF6CC4"/>
    <w:rsid w:val="00DF7D0E"/>
    <w:rsid w:val="00E15A35"/>
    <w:rsid w:val="00E16849"/>
    <w:rsid w:val="00E21B4A"/>
    <w:rsid w:val="00E26D27"/>
    <w:rsid w:val="00E311F0"/>
    <w:rsid w:val="00E53F71"/>
    <w:rsid w:val="00E562FC"/>
    <w:rsid w:val="00E72128"/>
    <w:rsid w:val="00E72BDF"/>
    <w:rsid w:val="00E74455"/>
    <w:rsid w:val="00E768A9"/>
    <w:rsid w:val="00E84130"/>
    <w:rsid w:val="00EA0F6C"/>
    <w:rsid w:val="00EC0AEE"/>
    <w:rsid w:val="00EC1378"/>
    <w:rsid w:val="00EC4661"/>
    <w:rsid w:val="00EE5090"/>
    <w:rsid w:val="00EF15A0"/>
    <w:rsid w:val="00EF3048"/>
    <w:rsid w:val="00F00318"/>
    <w:rsid w:val="00F03C90"/>
    <w:rsid w:val="00F13A2E"/>
    <w:rsid w:val="00F146F1"/>
    <w:rsid w:val="00F23364"/>
    <w:rsid w:val="00F25162"/>
    <w:rsid w:val="00F26152"/>
    <w:rsid w:val="00F509BE"/>
    <w:rsid w:val="00F559A7"/>
    <w:rsid w:val="00F659E6"/>
    <w:rsid w:val="00F65F9B"/>
    <w:rsid w:val="00F66837"/>
    <w:rsid w:val="00F67D20"/>
    <w:rsid w:val="00F90C5C"/>
    <w:rsid w:val="00F952B6"/>
    <w:rsid w:val="00F96453"/>
    <w:rsid w:val="00FB6817"/>
    <w:rsid w:val="00FB6D27"/>
    <w:rsid w:val="00FC019F"/>
    <w:rsid w:val="00FC4284"/>
    <w:rsid w:val="00FC77BF"/>
    <w:rsid w:val="00FE23E0"/>
    <w:rsid w:val="00FE2F2C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53F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Indentcorptext">
    <w:name w:val="Body Text Indent"/>
    <w:basedOn w:val="Normal"/>
    <w:link w:val="IndentcorptextCaracte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D362A4"/>
    <w:rPr>
      <w:rFonts w:ascii="Times New Roman" w:eastAsia="Times New Roman" w:hAnsi="Times New Roman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53F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2fad73c9-760b-4e1c-9dd1-60da9c21575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097ddb21-9243-4a98-b55a-01f3dd3c5958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94715fb0-2704-4283-b787-9b357c9c23d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1655b5fc-cc0f-4a5c-9714-b4b6ef73d07c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natalia.ene</cp:lastModifiedBy>
  <cp:revision>2</cp:revision>
  <cp:lastPrinted>2022-09-21T14:49:00Z</cp:lastPrinted>
  <dcterms:created xsi:type="dcterms:W3CDTF">2022-09-22T11:26:00Z</dcterms:created>
  <dcterms:modified xsi:type="dcterms:W3CDTF">2022-09-22T11:26:00Z</dcterms:modified>
</cp:coreProperties>
</file>