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230505</wp:posOffset>
            </wp:positionH>
            <wp:positionV relativeFrom="paragraph">
              <wp:posOffset>-718820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AB1BF9">
        <w:t>15</w:t>
      </w:r>
      <w:r w:rsidR="007962FA">
        <w:t>.04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7962FA" w:rsidRDefault="007962FA" w:rsidP="00A13EE9">
      <w:pPr>
        <w:ind w:left="993" w:right="324"/>
        <w:jc w:val="center"/>
        <w:rPr>
          <w:sz w:val="24"/>
          <w:szCs w:val="24"/>
        </w:rPr>
      </w:pPr>
    </w:p>
    <w:p w:rsidR="007962FA" w:rsidRDefault="007962FA" w:rsidP="00A13EE9">
      <w:pPr>
        <w:ind w:left="993" w:right="324"/>
        <w:jc w:val="center"/>
        <w:rPr>
          <w:sz w:val="24"/>
          <w:szCs w:val="24"/>
        </w:rPr>
      </w:pPr>
    </w:p>
    <w:p w:rsidR="007962FA" w:rsidRDefault="007962FA" w:rsidP="007962FA">
      <w:pPr>
        <w:ind w:left="993" w:right="324"/>
        <w:jc w:val="both"/>
        <w:rPr>
          <w:sz w:val="24"/>
          <w:szCs w:val="24"/>
          <w:lang w:val="ro-RO"/>
        </w:rPr>
      </w:pPr>
    </w:p>
    <w:p w:rsidR="00873379" w:rsidRDefault="007962FA" w:rsidP="00AB1BF9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Inspectorii de muncă din cadrul Compartimentului Contro</w:t>
      </w:r>
      <w:r w:rsidR="00AB1BF9">
        <w:rPr>
          <w:sz w:val="24"/>
          <w:szCs w:val="24"/>
          <w:lang w:val="ro-RO"/>
        </w:rPr>
        <w:t>l Muncă Nedeclarată au depistat, în perioada 08.04.2019 – 12.04.2019,</w:t>
      </w:r>
      <w:r w:rsidR="00DE32A4">
        <w:rPr>
          <w:sz w:val="24"/>
          <w:szCs w:val="24"/>
          <w:lang w:val="ro-RO"/>
        </w:rPr>
        <w:t xml:space="preserve"> </w:t>
      </w:r>
      <w:r w:rsidR="00873379">
        <w:rPr>
          <w:sz w:val="24"/>
          <w:szCs w:val="24"/>
          <w:lang w:val="ro-RO"/>
        </w:rPr>
        <w:t>25 de persoane care prestau fără forme legale de angajare la trei angajatori</w:t>
      </w:r>
      <w:r w:rsidR="00806097">
        <w:rPr>
          <w:sz w:val="24"/>
          <w:szCs w:val="24"/>
          <w:lang w:val="ro-RO"/>
        </w:rPr>
        <w:t xml:space="preserve"> ce desfăşoară</w:t>
      </w:r>
      <w:r w:rsidR="00873379">
        <w:rPr>
          <w:sz w:val="24"/>
          <w:szCs w:val="24"/>
          <w:lang w:val="ro-RO"/>
        </w:rPr>
        <w:t xml:space="preserve"> activitate</w:t>
      </w:r>
      <w:r w:rsidR="00806097">
        <w:rPr>
          <w:sz w:val="24"/>
          <w:szCs w:val="24"/>
          <w:lang w:val="ro-RO"/>
        </w:rPr>
        <w:t xml:space="preserve"> pe teritoriul judeţului Gorj. Î</w:t>
      </w:r>
      <w:r w:rsidR="00873379">
        <w:rPr>
          <w:sz w:val="24"/>
          <w:szCs w:val="24"/>
          <w:lang w:val="ro-RO"/>
        </w:rPr>
        <w:t xml:space="preserve">n urma deficienţelor constatate au fost </w:t>
      </w:r>
      <w:r w:rsidR="00806097">
        <w:rPr>
          <w:sz w:val="24"/>
          <w:szCs w:val="24"/>
          <w:lang w:val="ro-RO"/>
        </w:rPr>
        <w:t>aplicate amenzi</w:t>
      </w:r>
      <w:r w:rsidR="00873379">
        <w:rPr>
          <w:sz w:val="24"/>
          <w:szCs w:val="24"/>
          <w:lang w:val="ro-RO"/>
        </w:rPr>
        <w:t xml:space="preserve"> în valoare totală de 280.000 de lei. </w:t>
      </w:r>
      <w:r w:rsidR="00806097">
        <w:rPr>
          <w:sz w:val="24"/>
          <w:szCs w:val="24"/>
          <w:lang w:val="ro-RO"/>
        </w:rPr>
        <w:t xml:space="preserve">Cea mai mare sancţiune, 200.000 de lei, a fost aplicată unui angajator care folosea în activitate 21 de muncitori necalificaţi fără </w:t>
      </w:r>
      <w:r w:rsidR="008E67A2">
        <w:rPr>
          <w:sz w:val="24"/>
          <w:szCs w:val="24"/>
          <w:lang w:val="ro-RO"/>
        </w:rPr>
        <w:t>a putea face dovada încheierii, în prealabil, a contractelor individuale de muncă cu aceştia. Cu o amendă de 60.000 de lei a fost sancţionat şi un alt angajator pentru care munceau, fără forme legale de angajare, trei persoane. O altă sancţiune, în sumă de 20.000 de lei, s-a dispus î</w:t>
      </w:r>
      <w:r w:rsidR="00110BF1">
        <w:rPr>
          <w:sz w:val="24"/>
          <w:szCs w:val="24"/>
          <w:lang w:val="ro-RO"/>
        </w:rPr>
        <w:t>n sarcina unui angajator</w:t>
      </w:r>
      <w:r w:rsidR="008E67A2">
        <w:rPr>
          <w:sz w:val="24"/>
          <w:szCs w:val="24"/>
          <w:lang w:val="ro-RO"/>
        </w:rPr>
        <w:t xml:space="preserve"> ce </w:t>
      </w:r>
      <w:r w:rsidR="00110BF1">
        <w:rPr>
          <w:sz w:val="24"/>
          <w:szCs w:val="24"/>
          <w:lang w:val="ro-RO"/>
        </w:rPr>
        <w:t xml:space="preserve">folosea în activitate, fără forme legale, o persoană. </w:t>
      </w:r>
    </w:p>
    <w:p w:rsidR="00110BF1" w:rsidRDefault="00110BF1" w:rsidP="00AB1BF9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domeniul securităţii şi sănătăţii în muncă,</w:t>
      </w:r>
      <w:r w:rsidR="00446664">
        <w:rPr>
          <w:sz w:val="24"/>
          <w:szCs w:val="24"/>
          <w:lang w:val="ro-RO"/>
        </w:rPr>
        <w:t xml:space="preserve"> în aceeaşi perioadă,</w:t>
      </w:r>
      <w:r>
        <w:rPr>
          <w:sz w:val="24"/>
          <w:szCs w:val="24"/>
          <w:lang w:val="ro-RO"/>
        </w:rPr>
        <w:t xml:space="preserve"> s-au aplicat cinci amenzi în valoare totală de 19.500 de lei. </w:t>
      </w:r>
      <w:r w:rsidR="00331687">
        <w:rPr>
          <w:sz w:val="24"/>
          <w:szCs w:val="24"/>
          <w:lang w:val="ro-RO"/>
        </w:rPr>
        <w:t>De asemenea, un dosar</w:t>
      </w:r>
      <w:r w:rsidR="00446664">
        <w:rPr>
          <w:sz w:val="24"/>
          <w:szCs w:val="24"/>
          <w:lang w:val="ro-RO"/>
        </w:rPr>
        <w:t xml:space="preserve"> de cercetare eveniment</w:t>
      </w:r>
      <w:r w:rsidR="00331687">
        <w:rPr>
          <w:sz w:val="24"/>
          <w:szCs w:val="24"/>
          <w:lang w:val="ro-RO"/>
        </w:rPr>
        <w:t xml:space="preserve"> depus spre avizare la I.T.M. Gorj,</w:t>
      </w:r>
      <w:r w:rsidR="00446664">
        <w:rPr>
          <w:sz w:val="24"/>
          <w:szCs w:val="24"/>
          <w:lang w:val="ro-RO"/>
        </w:rPr>
        <w:t xml:space="preserve"> referitor</w:t>
      </w:r>
      <w:r w:rsidR="00331687">
        <w:rPr>
          <w:sz w:val="24"/>
          <w:szCs w:val="24"/>
          <w:lang w:val="ro-RO"/>
        </w:rPr>
        <w:t xml:space="preserve"> la un accident de muncă petrecut pe data de 13 martie a.c.</w:t>
      </w:r>
      <w:r w:rsidR="00D21A7C">
        <w:rPr>
          <w:sz w:val="24"/>
          <w:szCs w:val="24"/>
          <w:lang w:val="ro-RO"/>
        </w:rPr>
        <w:t>,</w:t>
      </w:r>
      <w:r w:rsidR="00331687">
        <w:rPr>
          <w:sz w:val="24"/>
          <w:szCs w:val="24"/>
          <w:lang w:val="ro-RO"/>
        </w:rPr>
        <w:t xml:space="preserve"> când un bărbat a c</w:t>
      </w:r>
      <w:r w:rsidR="00D21A7C">
        <w:rPr>
          <w:sz w:val="24"/>
          <w:szCs w:val="24"/>
          <w:lang w:val="ro-RO"/>
        </w:rPr>
        <w:t>ăzut prin acoperişul unui imobil  la care</w:t>
      </w:r>
      <w:r w:rsidR="00331687">
        <w:rPr>
          <w:sz w:val="24"/>
          <w:szCs w:val="24"/>
          <w:lang w:val="ro-RO"/>
        </w:rPr>
        <w:t xml:space="preserve"> efectua lucrări de modernizare, a fost respins </w:t>
      </w:r>
      <w:r w:rsidR="00D21A7C">
        <w:rPr>
          <w:sz w:val="24"/>
          <w:szCs w:val="24"/>
          <w:lang w:val="ro-RO"/>
        </w:rPr>
        <w:t>din cauza neîntocmirii acestuia</w:t>
      </w:r>
      <w:bookmarkStart w:id="0" w:name="_GoBack"/>
      <w:bookmarkEnd w:id="0"/>
      <w:r w:rsidR="00331687">
        <w:rPr>
          <w:sz w:val="24"/>
          <w:szCs w:val="24"/>
          <w:lang w:val="ro-RO"/>
        </w:rPr>
        <w:t xml:space="preserve"> conform legislaţiei securităţii şi sănătăţii în muncă. </w:t>
      </w:r>
    </w:p>
    <w:p w:rsidR="00331687" w:rsidRDefault="00446664" w:rsidP="00AB1BF9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„Angajatorii trebuie să trateze cu maximă seriozitate întocmirea dosarului de cercetare a unui eveniment </w:t>
      </w:r>
      <w:r w:rsidR="00636580">
        <w:rPr>
          <w:sz w:val="24"/>
          <w:szCs w:val="24"/>
          <w:lang w:val="ro-RO"/>
        </w:rPr>
        <w:t>ce urmează a fi</w:t>
      </w:r>
      <w:r>
        <w:rPr>
          <w:sz w:val="24"/>
          <w:szCs w:val="24"/>
          <w:lang w:val="ro-RO"/>
        </w:rPr>
        <w:t xml:space="preserve"> depus spre avizare la instituţia noastră, pentru că, în cazul în care normele legislative nu sunt respectate în totalitate cu </w:t>
      </w:r>
      <w:r w:rsidR="00636580">
        <w:rPr>
          <w:sz w:val="24"/>
          <w:szCs w:val="24"/>
          <w:lang w:val="ro-RO"/>
        </w:rPr>
        <w:t>privire la întocmire şi retransmitere, risc</w:t>
      </w:r>
      <w:r>
        <w:rPr>
          <w:sz w:val="24"/>
          <w:szCs w:val="24"/>
          <w:lang w:val="ro-RO"/>
        </w:rPr>
        <w:t>ă sancţiuni”, a declarat George Octavian Romanescu, inspector şef al Inspectoratului Teritorial de Muncă Gorj.</w:t>
      </w:r>
    </w:p>
    <w:p w:rsidR="00873379" w:rsidRDefault="00873379" w:rsidP="00AB1BF9">
      <w:pPr>
        <w:ind w:left="993" w:right="324"/>
        <w:jc w:val="both"/>
        <w:rPr>
          <w:sz w:val="24"/>
          <w:szCs w:val="24"/>
          <w:lang w:val="ro-RO"/>
        </w:rPr>
      </w:pPr>
    </w:p>
    <w:p w:rsidR="00873379" w:rsidRDefault="00873379" w:rsidP="00AB1BF9">
      <w:pPr>
        <w:ind w:left="993" w:right="324"/>
        <w:jc w:val="both"/>
        <w:rPr>
          <w:sz w:val="24"/>
          <w:szCs w:val="24"/>
          <w:lang w:val="ro-RO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sectPr w:rsidR="00020BB2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10" w:rsidRDefault="00030610" w:rsidP="00CD5B3B">
      <w:r>
        <w:separator/>
      </w:r>
    </w:p>
  </w:endnote>
  <w:endnote w:type="continuationSeparator" w:id="0">
    <w:p w:rsidR="00030610" w:rsidRDefault="0003061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030610" w:rsidP="00227966">
    <w:pPr>
      <w:pStyle w:val="Footer"/>
      <w:ind w:left="1701"/>
      <w:jc w:val="center"/>
      <w:rPr>
        <w:rFonts w:ascii="AvantGardEFNormal" w:hAnsi="AvantGardEFNormal" w:hint="eastAsia"/>
        <w:sz w:val="20"/>
        <w:szCs w:val="14"/>
      </w:rPr>
    </w:pPr>
    <w:r>
      <w:rPr>
        <w:rFonts w:hint="eastAsia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Pr="00EC4661" w:rsidRDefault="00227966" w:rsidP="00227966">
    <w:pPr>
      <w:pStyle w:val="Footer"/>
      <w:ind w:left="1701"/>
      <w:jc w:val="center"/>
      <w:rPr>
        <w:rFonts w:ascii="AvantGardEFNormal" w:hAnsi="AvantGardEFNormal" w:hint="eastAsia"/>
        <w:sz w:val="20"/>
        <w:szCs w:val="14"/>
      </w:rPr>
    </w:pP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la </w:t>
    </w:r>
    <w:proofErr w:type="spellStart"/>
    <w:r w:rsidRPr="00EC4661">
      <w:rPr>
        <w:rFonts w:ascii="AvantGardEFNormal" w:hAnsi="AvantGardEFNormal"/>
        <w:sz w:val="20"/>
        <w:szCs w:val="14"/>
      </w:rPr>
      <w:t>Consiliul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Uniunii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7966" w:rsidRDefault="00227966" w:rsidP="004F713C">
    <w:pPr>
      <w:pStyle w:val="Footer"/>
      <w:ind w:left="1701"/>
      <w:rPr>
        <w:rFonts w:ascii="AvantGardEFNormal" w:hAnsi="AvantGardEFNormal" w:hint="eastAsia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030610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3E4DF7" w:rsidRPr="00327531">
      <w:rPr>
        <w:b/>
        <w:sz w:val="14"/>
        <w:szCs w:val="16"/>
      </w:rPr>
      <w:t>www.inspectiamuncii.ro ;  www.romania2019.eu</w:t>
    </w:r>
  </w:p>
  <w:p w:rsidR="00AD41DA" w:rsidRDefault="00030610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10" w:rsidRDefault="00030610" w:rsidP="00CD5B3B">
      <w:r>
        <w:separator/>
      </w:r>
    </w:p>
  </w:footnote>
  <w:footnote w:type="continuationSeparator" w:id="0">
    <w:p w:rsidR="00030610" w:rsidRDefault="0003061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030610" w:rsidP="003A6D26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margin-left:97.25pt;margin-top:15.3pt;width:263.8pt;height:44.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Text Box 2">
                  <w:txbxContent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 xml:space="preserve">Inspecţia Muncii </w:t>
                      </w:r>
                    </w:p>
                    <w:p w:rsidR="003E4DF7" w:rsidRPr="00880098" w:rsidRDefault="003E4DF7" w:rsidP="003E4DF7">
                      <w:pPr>
                        <w:rPr>
                          <w:smallCaps/>
                          <w:sz w:val="30"/>
                          <w:lang w:val="ro-RO"/>
                        </w:rPr>
                      </w:pPr>
                      <w:r w:rsidRPr="00880098">
                        <w:rPr>
                          <w:smallCaps/>
                          <w:sz w:val="30"/>
                          <w:lang w:val="ro-RO"/>
                        </w:rPr>
                        <w:t>Inspectoratul teritorial de muncă gorj</w:t>
                      </w: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3E4DF7" w:rsidRPr="00484F1F" w:rsidRDefault="003E4DF7" w:rsidP="003E4DF7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  <w:r w:rsidR="003A6D2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BD5A4A" w:rsidP="003A6D26">
          <w:pPr>
            <w:pStyle w:val="MediumGrid21"/>
            <w:ind w:left="993" w:right="709" w:firstLine="142"/>
          </w:pPr>
          <w:r>
            <w:rPr>
              <w:noProof/>
            </w:rPr>
            <w:drawing>
              <wp:inline distT="0" distB="0" distL="0" distR="0" wp14:anchorId="67CFEAD3" wp14:editId="2E709744">
                <wp:extent cx="1895475" cy="609600"/>
                <wp:effectExtent l="19050" t="0" r="9525" b="0"/>
                <wp:docPr id="2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3486" w:rsidRDefault="0098348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DF7"/>
    <w:rsid w:val="00006E22"/>
    <w:rsid w:val="00010739"/>
    <w:rsid w:val="00020BB2"/>
    <w:rsid w:val="00020F46"/>
    <w:rsid w:val="00030610"/>
    <w:rsid w:val="00043406"/>
    <w:rsid w:val="0004474B"/>
    <w:rsid w:val="000567FC"/>
    <w:rsid w:val="000767C9"/>
    <w:rsid w:val="00092C9F"/>
    <w:rsid w:val="000A0812"/>
    <w:rsid w:val="000C1C4D"/>
    <w:rsid w:val="000C3F96"/>
    <w:rsid w:val="000C775B"/>
    <w:rsid w:val="000D0F52"/>
    <w:rsid w:val="000E0696"/>
    <w:rsid w:val="00100F36"/>
    <w:rsid w:val="00110BF1"/>
    <w:rsid w:val="00124BFF"/>
    <w:rsid w:val="00143641"/>
    <w:rsid w:val="00153C82"/>
    <w:rsid w:val="001547F3"/>
    <w:rsid w:val="0016692F"/>
    <w:rsid w:val="00173D32"/>
    <w:rsid w:val="001A31A4"/>
    <w:rsid w:val="001A5592"/>
    <w:rsid w:val="001A57CA"/>
    <w:rsid w:val="001B5AD4"/>
    <w:rsid w:val="001E03C9"/>
    <w:rsid w:val="001F3097"/>
    <w:rsid w:val="001F456F"/>
    <w:rsid w:val="001F5132"/>
    <w:rsid w:val="001F5F19"/>
    <w:rsid w:val="0022184C"/>
    <w:rsid w:val="00227966"/>
    <w:rsid w:val="00241AA4"/>
    <w:rsid w:val="00272E31"/>
    <w:rsid w:val="002848F3"/>
    <w:rsid w:val="002A5742"/>
    <w:rsid w:val="002B382A"/>
    <w:rsid w:val="002C1517"/>
    <w:rsid w:val="002D499D"/>
    <w:rsid w:val="002E2270"/>
    <w:rsid w:val="00306D72"/>
    <w:rsid w:val="003070E3"/>
    <w:rsid w:val="00315D18"/>
    <w:rsid w:val="0032461D"/>
    <w:rsid w:val="00331687"/>
    <w:rsid w:val="00332152"/>
    <w:rsid w:val="0034448B"/>
    <w:rsid w:val="00353678"/>
    <w:rsid w:val="0035613F"/>
    <w:rsid w:val="00360BAC"/>
    <w:rsid w:val="00362768"/>
    <w:rsid w:val="00376AD0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3F57"/>
    <w:rsid w:val="00431399"/>
    <w:rsid w:val="00431C85"/>
    <w:rsid w:val="00432BCC"/>
    <w:rsid w:val="00446664"/>
    <w:rsid w:val="00451E71"/>
    <w:rsid w:val="004566FB"/>
    <w:rsid w:val="00480C61"/>
    <w:rsid w:val="00493AD5"/>
    <w:rsid w:val="004A2A64"/>
    <w:rsid w:val="004A5EB4"/>
    <w:rsid w:val="004C28B3"/>
    <w:rsid w:val="004D5B02"/>
    <w:rsid w:val="004E6163"/>
    <w:rsid w:val="004F713C"/>
    <w:rsid w:val="00520545"/>
    <w:rsid w:val="005459B7"/>
    <w:rsid w:val="005459DD"/>
    <w:rsid w:val="00546F3D"/>
    <w:rsid w:val="0057176C"/>
    <w:rsid w:val="00593340"/>
    <w:rsid w:val="00597DC9"/>
    <w:rsid w:val="005A1948"/>
    <w:rsid w:val="005B30BF"/>
    <w:rsid w:val="005C6D74"/>
    <w:rsid w:val="005D1F58"/>
    <w:rsid w:val="005E6FFA"/>
    <w:rsid w:val="005F5CC5"/>
    <w:rsid w:val="006056F6"/>
    <w:rsid w:val="006101BB"/>
    <w:rsid w:val="00621EE6"/>
    <w:rsid w:val="00636580"/>
    <w:rsid w:val="00646B41"/>
    <w:rsid w:val="00652D90"/>
    <w:rsid w:val="00656CC9"/>
    <w:rsid w:val="006621E6"/>
    <w:rsid w:val="006638DF"/>
    <w:rsid w:val="00670E9D"/>
    <w:rsid w:val="00672FDA"/>
    <w:rsid w:val="00683D64"/>
    <w:rsid w:val="00692EBA"/>
    <w:rsid w:val="00695B59"/>
    <w:rsid w:val="00697775"/>
    <w:rsid w:val="006A263E"/>
    <w:rsid w:val="006B11A6"/>
    <w:rsid w:val="006B528B"/>
    <w:rsid w:val="006C50E6"/>
    <w:rsid w:val="006D7B7A"/>
    <w:rsid w:val="006E6C28"/>
    <w:rsid w:val="006F16AE"/>
    <w:rsid w:val="00706765"/>
    <w:rsid w:val="0071655A"/>
    <w:rsid w:val="00720041"/>
    <w:rsid w:val="00722BEC"/>
    <w:rsid w:val="007311E8"/>
    <w:rsid w:val="00766E0E"/>
    <w:rsid w:val="00784CF3"/>
    <w:rsid w:val="00787C91"/>
    <w:rsid w:val="00792399"/>
    <w:rsid w:val="007962FA"/>
    <w:rsid w:val="007A359C"/>
    <w:rsid w:val="007B6CBA"/>
    <w:rsid w:val="007C25CA"/>
    <w:rsid w:val="007C4123"/>
    <w:rsid w:val="007C431C"/>
    <w:rsid w:val="007D42A8"/>
    <w:rsid w:val="008029B5"/>
    <w:rsid w:val="00806097"/>
    <w:rsid w:val="0081023E"/>
    <w:rsid w:val="0082358E"/>
    <w:rsid w:val="0082382E"/>
    <w:rsid w:val="00831C48"/>
    <w:rsid w:val="0084071D"/>
    <w:rsid w:val="00851104"/>
    <w:rsid w:val="00854B75"/>
    <w:rsid w:val="00862A0A"/>
    <w:rsid w:val="00872F52"/>
    <w:rsid w:val="00873379"/>
    <w:rsid w:val="00891A60"/>
    <w:rsid w:val="008A2AC0"/>
    <w:rsid w:val="008B04F5"/>
    <w:rsid w:val="008D5B0F"/>
    <w:rsid w:val="008E2416"/>
    <w:rsid w:val="008E4C72"/>
    <w:rsid w:val="008E6478"/>
    <w:rsid w:val="008E67A2"/>
    <w:rsid w:val="00912ED3"/>
    <w:rsid w:val="00915096"/>
    <w:rsid w:val="00927367"/>
    <w:rsid w:val="00931BD9"/>
    <w:rsid w:val="009510DA"/>
    <w:rsid w:val="00954846"/>
    <w:rsid w:val="00964E01"/>
    <w:rsid w:val="00981E2F"/>
    <w:rsid w:val="00983486"/>
    <w:rsid w:val="009862D8"/>
    <w:rsid w:val="00994641"/>
    <w:rsid w:val="009A48D0"/>
    <w:rsid w:val="009B08E4"/>
    <w:rsid w:val="009C0982"/>
    <w:rsid w:val="009C37C2"/>
    <w:rsid w:val="009C6FAB"/>
    <w:rsid w:val="009F0299"/>
    <w:rsid w:val="00A13EE9"/>
    <w:rsid w:val="00A271A5"/>
    <w:rsid w:val="00A305F4"/>
    <w:rsid w:val="00A34EEA"/>
    <w:rsid w:val="00A411C1"/>
    <w:rsid w:val="00A46994"/>
    <w:rsid w:val="00A504B6"/>
    <w:rsid w:val="00A524C1"/>
    <w:rsid w:val="00A73DA0"/>
    <w:rsid w:val="00A840B3"/>
    <w:rsid w:val="00AA6432"/>
    <w:rsid w:val="00AB1BF9"/>
    <w:rsid w:val="00AB4F01"/>
    <w:rsid w:val="00AC6A9A"/>
    <w:rsid w:val="00AD41DA"/>
    <w:rsid w:val="00AE0440"/>
    <w:rsid w:val="00AE26B4"/>
    <w:rsid w:val="00AF3A6E"/>
    <w:rsid w:val="00B11A9E"/>
    <w:rsid w:val="00B13BB4"/>
    <w:rsid w:val="00B302B4"/>
    <w:rsid w:val="00B3354B"/>
    <w:rsid w:val="00B605D4"/>
    <w:rsid w:val="00B62CF4"/>
    <w:rsid w:val="00B83372"/>
    <w:rsid w:val="00B92899"/>
    <w:rsid w:val="00BB18B3"/>
    <w:rsid w:val="00BD25C4"/>
    <w:rsid w:val="00BD2B13"/>
    <w:rsid w:val="00BD5A4A"/>
    <w:rsid w:val="00BE1CEA"/>
    <w:rsid w:val="00BE3BFD"/>
    <w:rsid w:val="00BE738D"/>
    <w:rsid w:val="00BF39FC"/>
    <w:rsid w:val="00BF4A30"/>
    <w:rsid w:val="00C05F49"/>
    <w:rsid w:val="00C164E3"/>
    <w:rsid w:val="00C20EF1"/>
    <w:rsid w:val="00C30FB1"/>
    <w:rsid w:val="00C4665A"/>
    <w:rsid w:val="00C66906"/>
    <w:rsid w:val="00C677FC"/>
    <w:rsid w:val="00C76669"/>
    <w:rsid w:val="00C81BB9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D02794"/>
    <w:rsid w:val="00D05D93"/>
    <w:rsid w:val="00D06E9C"/>
    <w:rsid w:val="00D1127E"/>
    <w:rsid w:val="00D154CC"/>
    <w:rsid w:val="00D16B18"/>
    <w:rsid w:val="00D21A7C"/>
    <w:rsid w:val="00D33D79"/>
    <w:rsid w:val="00D473BE"/>
    <w:rsid w:val="00D54C52"/>
    <w:rsid w:val="00D54CE4"/>
    <w:rsid w:val="00D62411"/>
    <w:rsid w:val="00D7179D"/>
    <w:rsid w:val="00D86F1D"/>
    <w:rsid w:val="00D870EE"/>
    <w:rsid w:val="00D8751A"/>
    <w:rsid w:val="00DA29BC"/>
    <w:rsid w:val="00DB069F"/>
    <w:rsid w:val="00DD628C"/>
    <w:rsid w:val="00DE32A4"/>
    <w:rsid w:val="00DF6CC4"/>
    <w:rsid w:val="00E562FC"/>
    <w:rsid w:val="00E56560"/>
    <w:rsid w:val="00E63482"/>
    <w:rsid w:val="00E72128"/>
    <w:rsid w:val="00E74455"/>
    <w:rsid w:val="00E759DC"/>
    <w:rsid w:val="00E768A9"/>
    <w:rsid w:val="00E84130"/>
    <w:rsid w:val="00E845D4"/>
    <w:rsid w:val="00EA0F6C"/>
    <w:rsid w:val="00EB0A2E"/>
    <w:rsid w:val="00EB495A"/>
    <w:rsid w:val="00EC0AEE"/>
    <w:rsid w:val="00EC4661"/>
    <w:rsid w:val="00EE5090"/>
    <w:rsid w:val="00EF3048"/>
    <w:rsid w:val="00F00318"/>
    <w:rsid w:val="00F14552"/>
    <w:rsid w:val="00F23364"/>
    <w:rsid w:val="00F25162"/>
    <w:rsid w:val="00F659E6"/>
    <w:rsid w:val="00F65F9B"/>
    <w:rsid w:val="00F67D20"/>
    <w:rsid w:val="00F952B6"/>
    <w:rsid w:val="00F96453"/>
    <w:rsid w:val="00FA6DF7"/>
    <w:rsid w:val="00FA6E4B"/>
    <w:rsid w:val="00FB6817"/>
    <w:rsid w:val="00FB6D27"/>
    <w:rsid w:val="00FC019F"/>
    <w:rsid w:val="00FC4284"/>
    <w:rsid w:val="00FC77BF"/>
    <w:rsid w:val="00FE2F2C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AEBE-7FCB-400E-BF2B-5D1DD025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4594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66</cp:revision>
  <cp:lastPrinted>2019-02-11T08:47:00Z</cp:lastPrinted>
  <dcterms:created xsi:type="dcterms:W3CDTF">2019-01-08T11:01:00Z</dcterms:created>
  <dcterms:modified xsi:type="dcterms:W3CDTF">2019-04-15T11:06:00Z</dcterms:modified>
</cp:coreProperties>
</file>